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ZD25.023014 vom 19. Mai 2026</w:t>
      </w:r>
    </w:p>
    <w:p>
      <w:r>
        <w:t>VD Tribunal cantonal, 2026-05-19, FR</w:t>
      </w:r>
    </w:p>
    <w:p>
      <w:r>
        <w:rPr>
          <w:b/>
        </w:rPr>
        <w:t xml:space="preserve">Quelle: </w:t>
      </w:r>
      <w:r>
        <w:t>https://mcp.opencaselaw.ch/entscheid/vd_gerichte_ZD25.023014</w:t>
      </w:r>
    </w:p>
    <w:p>
      <w:r>
        <w:t>FR: VD_GERICHTE ZD25.023014 du 19 mai 2026</w:t>
      </w:r>
    </w:p>
    <w:p>
      <w:r>
        <w:t>IT: VD_GERICHTE ZD25.023014 del 19 maggio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10J010</w:t>
      </w:r>
    </w:p>
    <w:p>
      <w:r>
        <w:t>- 21 -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10J010</w:t>
      </w:r>
    </w:p>
    <w:p>
      <w:r>
        <w:t>- 22 - l’essentiel inchangée ne constitue pas un motif de révision (ATF 147 V 167 consid. 4.1 ; 141 V 9 consid. 2.3).</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10J010</w:t>
      </w:r>
    </w:p>
    <w:p>
      <w:r>
        <w:t>- 23 -</w:t>
      </w:r>
    </w:p>
    <w:p>
      <w:r>
        <w:rPr>
          <w:b/>
        </w:rPr>
        <w:t>E. 6</w:t>
      </w:r>
    </w:p>
    <w:p>
      <w:r>
        <w:t>a) En l’espèce, l’office intimé est entré en matière sur la nouvelle demande de prestations déposée le 7 juin 2024 par le recourant, celui-ci ayant produit dans ce cadre divers rapports médicaux propres à rendre vraisemblable une aggravation de son état de santé tant sur le plan somatique que psychiatrique. Après instruction, l’OAI a toutefois nié au recourant le droit à une rente d’invalidité et aux mesures professionnelles, au motif que son état de santé ne s’était pas aggravé de manière significative depuis la décision du 25 octobre 2022, entrée en force. b) Dans ce contexte, il s’agit pour la Cour de céans d’examiner si l’état de santé du recourant s’est modifié de façon significative entre la décision de refus de rente et de mesures professionnelles du 25 octobre 2022 et la décision litigieuse rendue le 2 avril 2025. On rappellera en particulier que la décision du 25 octobre 2022 avait été rendue par l’intimé après qu’il avait mis en œuvre une expertise pluridisciplinaire, réalisée par les médecins du BL.________, dont le rapport du 26 novembre 2021 dresse un tableau clinique du recourant sur les plans psychiatrique, rhumatologique et internistique. c) À l’appui de sa nouvelle demande de prestations, le recourant a produit divers rapports de ses médecins traitants, qu’il convient d’examiner pour déterminer s’ils établissent une aggravation de son état de santé depuis octobre 2022. aa) S’agissant du diagnostic de toux chronique, le rapport du 2 novembre 2023 de la Dre CB.________ mentionne que ce diagnostic est sans incidence sur la capacité de travail. En outre, ce diagnostic n’est pas nouveau, ayant déjà été posé par le Dr BF.________ dans son rapport du 17 février 2015, par le Dr G.________ dans son rapport du 9 décembre 2019 et par les experts du BL.________ dans leur rapport du 26 novembre 2021. Le recourant en avait d’ailleurs lui-même fait état dans sa troisième demande de prestations du 15 novembre 2019. 10J010</w:t>
      </w:r>
    </w:p>
    <w:p>
      <w:r>
        <w:t>- 24 - bb) Pour l’aphtose buccale récidivante déjà mentionnée par le recourant dans sa troisième demande de prestations du 15 novembre 2019 et par le Dr G.________ et les experts du BL.________ (cf. rapports des 9 décembre 2019, 23 mars 2020 et 26 novembre 2021), le rapport du 16 novembre 2023 du département de dermatologie et vénéréologie du CHUV indique l’absence de lésions actuelles. cc) Dans ses rapports des 15 février et 12 septembre 2024, le Dr G.________ a notamment posé les diagnostics incapacitants de discopathies étagées C3-C4, C4-C5, C5-C6 et C6-C7, de rétrolisthésis de C4- C5 de 2 mm, de discopathie en L4-L5 et L5-S1 avec image de dessiccation discale et diminution de la hauteur du disque, de protrusion discale postéro- médiane, de genu varum, de hernie discale L3-L4 en 2001 symptomatique avec déficit moteur résiduel, de hernie discale dorsale, de méniscopathie interne sévère avec déchirure complexe de la corne postérieure et du corps méniscal interne, de chondropathie de stade II de la facette interne de la rotule du genou droit et de déchirure du ménisque interne du genou gauche. On peut déjà constater que ces diagnostics ne sont pas nouveaux et sont présents depuis de longues années (cf. rapports du Dr C.________ des 23 avril 2001 et 24 août 2005, des experts CG.________, F.________ et CK.________ du 27 mai 2002, de la Dre M.________ du 26 février 2007, du Dr L.________ du 22 décembre 2008, du Dr K.________ du 10 février 2011, des experts du N.________ du 24 août 2011, du Dr G.________ des 9 décembre 2019 et 23 mars 2020 et des experts du BL.________ du 26 novembre 2021). Ensuite, le seul nouveau diagnostic, celui de cupulolithiase (diagnostic clinique), posé dans le rapport du 15 février 2024, n’a pas été repris dans le rapport du 12 septembre 2024. S’agissant des limitations mentionnées par le Dr G.________ dans son rapport du 12 septembre 2024, elles étaient déjà évoquées dans son rapport du 9 décembre 2019 et avaient également été retenues par le SMR dans son avis du 9 septembre 2011, dans lequel il était indiqué qu’il fallait « varier les positions assise et debout, éviter les rotations en position assise ou debout. Pas de travail accroupi ou à genoux. Pas de port de charges lourdes ». Il en va de même du rapport du 26 novembre 2021 du BL.________ 10J010</w:t>
      </w:r>
    </w:p>
    <w:p>
      <w:r>
        <w:t>- 25 - qui avait retenu, du point de vue rhumatologique, qu’il fallait, pour éviter toute aggravation des troubles dégénératifs lombo-vertébraux et cervicaux, que l’activité adaptée permette d’alterner les positions assise et debout, en limitant le port de charges à 10 kg, tout en évitant toute activité qui demandait une position agenouillée ou accroupie, une sécurité augmentée sur des échafaudages ou des échelles et une posture forcée non ergonomique qui surchargeait le rachis dans sa totalité. Ainsi, les rapports des 15 février et 12 septembre 2024 du Dr G.________ n’apportent aucun élément nouveau qui aurait permis d’établir l’existence d’une aggravation de l’état de santé du recourant. dd) Dans son rapport du 8 avril 2024, le Dr J.________ a notamment posé les diagnostics de probable trouble de la relaxation du plancher pelvien et de prostatite chronique probable à germe indéterminé. Comme l’a relevé le SMR dans son avis du 9 juillet 2025, il ne s’agissait que d’un examen de contrôle, qui ne rapportait aucune notion d’aggravation, les troubles mictionnels étant déjà décrits dans l’expertise du BL.________ de 2021. Quant au rapport du 26 juillet 2024, il ne répondait à aucune question et renvoyait au précédent rapport en précisant qu’il n’y avait aucune évolution sur le plan urologique. ee) Sur le plan psychique, le recourant a produit deux rapports du Dr BJ.________ des 7 juin et 10 septembre 2024, qui mentionnaient une fixation des troubles, puis une aggravation au début de l’année 2023. Il faut toutefois observer que les diagnostics posés en 2024 sont les mêmes que ceux retenus en 2020 (cf. rapport du 17 avril 2020) et que le Dr BJ.________ a indiqué une persistance des troubles déjà décrits dans son précédent rapport. En outre, le médecin n’explique pas en quoi l’accentuation des sentiments de désespoir avec des idéations suicidaires fluctuantes, des sentiments d’impuissance et une irritabilité à fleur de peau auraient une influence sur la capacité de travail du recourant, le Dr BJ.________ ne s’étant d’ailleurs pas déterminé sur cette question. On notera encore l’absence de traitement médicamenteux et d’hospitalisation (cf. avis SMR du 9 juillet 2025). 10J010</w:t>
      </w:r>
    </w:p>
    <w:p>
      <w:r>
        <w:t>- 26 - ff) Dans un courrier du 30 novembre 2024, la Dre P.________ a indiqué que le recourant présentait des douleurs cervicales en aggravation depuis quatre mois et qu’il signalait une irradiation occasionnelle de type décharge électrique dans le bras gauche depuis plusieurs mois, voire années, ainsi que des problèmes lombaires, considérés comme peu importants pour le moment. Sa plainte principale et très invalidante en janvier 2024 se rapportait à des douleurs aux trapèzes et à la nuque, avec un point particulièrement douloureux en regard de C7. Ces douleurs ne sont toutefois pas nouvelles, le Dr G.________ mentionnant déjà en 2019 un port de charges limité en raison de douleurs dans la région des trapèzes et de la nuque. Quant aux diagnostics posés par la Dre P.________ dans son rapport du 16 décembre 2024, à savoir ceux de douleurs musculosquelettiques secondaires chroniques avec des douleurs cervicales et thoraciques hautes chroniques et de possible syndrome myofascial, ils sont en lien avec les différentes douleurs que connait le recourant depuis longtemps, sans que la Dre P.________ ne fasse mention d’une quelconque aggravation. En outre, cette médecin ne s’est pas prononcée sur la question de la capacité de travail, des limitations fonctionnelles et de la situation professionnelle du recourant, ayant précisé, dans son rapport, ne pas être en mesure de répondre à ces questions. d) En définitive, aucun des rapports produits par le recourant ne permet de retenir une modification significative de son état de santé depuis le 25 octobre 2022. e) Pour le reste, le recourant s’attache à présenter un historique de ces différentes demandes en tentant de mettre en exergue ce qu’il considère comme étant des incohérences ou des contradictions, en particulier dans les expertises réalisées en 2011 et 2022, et plus généralement dans le traitement de ses demandes de prestations depuis 2002. Ce faisant, le recourant se limite à présenter librement ses critiques contre les différentes décisions de l’OAI rendues depuis 2008, 10J010</w:t>
      </w:r>
    </w:p>
    <w:p>
      <w:r>
        <w:t>- 27 - aujourd’hui entrées en force, sans se prévaloir aucunement de la découverte, dans l’intervalle, de faits nouveaux importants ou de moyens de preuve nouveaux susceptibles de justifier une révision (cf. art. 53 al. 1 LPGA). On ne distingue par ailleurs, dans les explications du recourant, aucun élément de nature à établir que les décisions rendues le concernant seraient manifestement erronées, si bien qu’une reconsidération (cf. art. 53 al. 2 LPGA) n’entre pas non plus en ligne de compte. On notera encore ici que le recourant fait valoir que le SMR n’avait pas pris en compte ses douleurs cervicales dans son avis du 22 février 2006, ne mentionnant que des lombosciatalgies et une anxiété généralisée, ce qui aurait ensuite faussé la suite de la prise en charge de son dossier. Il faut toutefois constater que l’examen rhumatologique et psychiatrique, proposé dans l’avis du SMR du 22 février 2006, n’a jamais été mis en œuvre, dès lors que la capacité de travail de 80 %, attestée par le Dr C.________, qui avait posé le incapacitant de cervicalgies importantes sur discopathies étagées, concordait avec la reprise d’activité du recourant à 80 % (cf. avis SMR du 12 mai 2006). Ainsi, l’absence de la mention d’une pathologie cervicale en 2006 n’a pas faussé la suite de l’instruction du dossier du recourant. Enfin, la critique de l’intéressé, selon laquelle le SMR avait omis de prendre en compte la synergie entre les pathologies physiques et psychiques, ne saurait être suivie dans la mesure où une évaluation consensuelle a été fait lors de l’expertise pluridisciplinaire de 2021.</w:t>
      </w:r>
    </w:p>
    <w:p>
      <w:r>
        <w:rPr>
          <w:b/>
        </w:rPr>
        <w:t>E. 7</w:t>
      </w:r>
    </w:p>
    <w:p>
      <w:r>
        <w:t>Les pièces au dossier permettent à la Cour de céans de statuer en toute connaissance de cause sans qu'il n'apparaisse nécessaire de mettre en œuvre une nouvelle expertise, telle que requise par le recourant. Il se justifie dès lors de renoncer à une telle mesure d'instruction par appréciation anticipée des preuves (ATF 145 I 167 consid. 4.1 ; 140 I 285 consid. 6.3.1 ; 130 II 425 consid. 2.1).</w:t>
      </w:r>
    </w:p>
    <w:p>
      <w:r>
        <w:rPr>
          <w:b/>
        </w:rPr>
        <w:t>E. 8</w:t>
      </w:r>
    </w:p>
    <w:p>
      <w:r>
        <w:t>a) En définitive, le recours, mal fondé, doit être rejeté et la décision attaquée confirmée. b) En dérogation à l’art. 61 let. a LPGA, la procédure de recours en matière de contestations portant sur l’octroi ou le refus de prestations 10J010</w:t>
      </w:r>
    </w:p>
    <w:p>
      <w:r>
        <w:t>- 28 - de l’assurance-invalidité devant le tribunal cantonal des assurances est soumise à des frais judiciaires (art. 69 al. 1bis LAI). En l’espèce, il convient de les arrêter à 600 fr. et de les mettre à la charge du recourant, qui succombe (art. 49 al. 1 LPA-VD, applicable par renvoi des art. 91 et 99 LPA- VD). Toutefois, dès lors que celui-ci a été mis au bénéfice de l’assistance judiciaire en la forme d’exonération d’avances et d’exonération des frais judiciaires, ces frais sont provisoirement laissés à la charge de l’Etat , par renvoi de l’art. 18 al. 5 LPA-VD). Le recourant est cependant rendu attentif au fait qu'il devra rembourser le montant dès qu'il sera en mesure de le faire (art. 122 al. 1 let. b et 123 CPC [code de procédure civile du 19 décembre 2008 ; RS 272], applicable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c) Le recourant a conclu, dans son acte de recours du 15 mai 2025, au remboursement des frais engagés auprès de l’association SOS Droits des patients par 3'100 fr. dans le cadre du dépôt de sa quatrième demande du 7 juin 2024. Outre le fait que le recourant n’a plus été assisté par cette association dans la procédure de recours devant la Cour de céans, il n’a également pas obtenu gain de cause. Dans cette mesure, il ne saurait prétendre à une quelconque indemnité en remboursement de ses frais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