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ZD25.021771 vom 13. April 2026</w:t>
      </w:r>
    </w:p>
    <w:p>
      <w:r>
        <w:t>VD Tribunal cantonal, 2026-04-13, FR</w:t>
      </w:r>
    </w:p>
    <w:p>
      <w:r>
        <w:rPr>
          <w:b/>
        </w:rPr>
        <w:t xml:space="preserve">Quelle: </w:t>
      </w:r>
      <w:r>
        <w:t>https://mcp.opencaselaw.ch/entscheid/vd_gerichte_ZD25.021771</w:t>
      </w:r>
    </w:p>
    <w:p>
      <w:r>
        <w:t>FR: VD_GERICHTE ZD25.021771 du 13 avril 2026</w:t>
      </w:r>
    </w:p>
    <w:p>
      <w:r>
        <w:t>IT: VD_GERICHTE ZD25.021771 del 13 aprile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premier lieu, il sied de déterminer l’objet du litige. a) En effet, par la décision attaquée, rendue à la suite de la demande déposée par la recourante le 23 février 2024, l’intimé a examiné si un changement des circonstances déterminantes s’était produit depuis le</w:t>
      </w:r>
    </w:p>
    <w:p>
      <w:r>
        <w:rPr>
          <w:b/>
        </w:rPr>
        <w:t>E. 6</w:t>
      </w:r>
    </w:p>
    <w:p>
      <w:r>
        <w:t>octobre 2023, date à laquelle il aurait selon lui définitivement écarté la première demande de révision que la recourante avait présentée le 8 février 2022. 10J010</w:t>
      </w:r>
    </w:p>
    <w:p>
      <w:r>
        <w:t>- 20 - La recourante conteste cette approche. Elle estime que sa demande de révision du 8 février 2022 n’a pas fait l’objet d’une décision formelle au sens de l’art. 49 LPGA, la « prise de position » de l’intimé du 6 octobre 2023, qui lui avait été communiquée personnellement, ne pouvant pas être considérée comme une décision au sens de la disposition précitée. Dans ce contexte, selon la recourante, son recours porterait en réalité sur la demande de révision initiée le 8 février 2022, et il conviendrait d’examiner si un changement important des circonstances s’était présenté, non pas depuis le 6 octobre 2023, mais depuis le 27 août 2014, date à laquelle l’intimé avait rendu la décision reconnaissant son droit à une demi- rente à compter du 1er février 2013. b) Aux termes de l’art. 17 al. 1 LPGA (dans sa teneur en vigueur au 1er janvier 2022),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Lorsque la comparaison des états de fait déterminants dans le temps met en évidence une modification des circonstances pertinentes, le 10J010</w:t>
      </w:r>
    </w:p>
    <w:p>
      <w:r>
        <w:t>- 21 - droit à la rente doit être examiné à nouveau sous tous ses aspects factuels et juridiques, sans que des évaluations antérieures revêtent un caractère obligatoire. Il n’est pas nécessaire que ce soit l’élément de fait qui s’est modifié qui conduise à fixer différemment le droit à la rente ; selon la jurisprudence, il suffit qu’à la suite de la modification d’une circonstance, un autre élément déterminant résultant de l’examen complet du droit à la prestation entraîne une augmentation, une diminution ou une suppression de la rente (ATF 141 V 9 consid. 2.3). Par exemple, en présence d’un changement de l’état de santé de la personne assurée, une modification (hypothétique) de la répartition du champ des activités lucrative et habituelle conduisant à un autre degré d’invalidité est prise en considération pour évaluer le droit aux prestations. En dépit de cette formulation large du motif de révision, celle-ci ne saurait être effectuée à l’occasion de n’importe quel changement factuel chez la personne assurée ; il faut que la modification soit telle qu’elle serait susceptible de se répercuter sur le droit aux prestations en cours dans la mesure prévue par l’art. 17 al. 1 LPGA (TF 9C_378/2014 du 21 octobre 2014 consid. 4.2). À défaut, la révision pourrait être envisagée sans condition et la rente modifiée à n’importe quel moment, ce qui ne correspond pas à l’institution de la révision telle que prévue à l’art. 17 LPGA (sur le tout : Moser- Szeless/Castella, Commentaire romand, LPGA, 2e éd., 2025, n° 27 ad art. 17 LPGA). Conformément à l’art. 88a al. 2 RAI, si la capacité de gain de l’assuré ou sa capacité d’accomplir les travaux habituels se dégrade, ce changement est déterminant pour l’accroissement du droit aux prestations dès qu’il a duré trois mois sans interruption notable. L’augmentation de la rente prend effet, si la révision a été demandée par l’assuré, au plus tôt dès le mois où cette demande est présentée (art. 88bis al. 1 let. a RAI). c) Aux termes de l’art. 49 al. 3 LPGA, l’assureur doit rendre par écrit les décisions qui portent sur des prestations, créances ou injonctions importantes ou avec lesquelles l’intéressée n’est pas d’accord. Selon le 10J010</w:t>
      </w:r>
    </w:p>
    <w:p>
      <w:r>
        <w:t>- 22 - même article, les décisions indiquent les voies de droit ; elles doivent être motivées si elles ne font pas entièrement droit aux demandes des parties ; la notification irrégulière ne doit entraîner aucun préjudice pour l’intéressé. L’art. 74 RAI prévoit quant à lui que, l’instruction de la demande achevée, l’office AI se prononce sur la demande de prestations (al. 1). La motivation tient compte des observations qui ont été faites par les parties sur le préavis, pour autant qu’elles portent sur des points déterminants (al. 2). Selon l’art. 74ter let. f RAI, si les conditions permettant l’octroi d’une prestation sont manifestement remplies et qu’elles correspondent à la demande de l’assuré, les prestations suivantes peuvent être accordées ou prolongées sans notification d’un préavis ou d’une décision : les rentes et les allocations pour impotent à la suite d’une révision effectuée d’office, pour autant qu’aucune modification de la situation propre à influencer le droit aux prestations n’ait été constatée. L’office AI communique par écrit à l’assuré les prononcés rendus selon l’art. 74ter et lui signale qu’il peut, s’il conteste le prononcé, exiger la notification d’une décision (art. 74quater al. 1 RAI). d) En l’espèce, la recourante doit être suivie dans son raisonnement. aa) Il est en effet constant que, le 8 février 2022, la recourante avait sollicité une révision de la demi-rente d’invalidité dont elle bénéficiait depuis le 1er février 2013, en vertu de la décision rendue par l’intimé le 27 août 2014. La recourante s’était alors prévalue de nouvelles atteintes, en particulier d’ordre rhumatologique et orthopédique (« colonne lombaire, genou et bras »), en sus de celles déjà reconnues en 2014 sur le plan pneumologique et neuropsychologique (hyperréactivité bronchique et troubles neuropsychologiques [nette diminution des performances : attention, mémoire, fonctions exécutives] ; cf. rapport SMR du 1er mai 2014). Elle a expliqué à cet égard s’être trouvée en incapacité de travail totale depuis le 11 mars 2021. 10J010</w:t>
      </w:r>
    </w:p>
    <w:p>
      <w:r>
        <w:t>- 23 - bb) Après instruction, soit en particulier à la suite de l’expertise effectuée le 13 juin 2023 par le N.________ ainsi que de l’avis médical du SMR du 15 juin 2023, l’intimé a adressé à la recourante, le 22 juin 2023, une communication par laquelle il l’a informée ne pas avoir constaté de changement propre à influencer son droit à la rente, de sorte qu’elle continuerait de bénéficier d’une demi-rente. Il y était en outre précisé qu’en cas de désaccord, il était loisible à la recourante de demander une décision. Par courrier du 13 juillet 2023, la recourante, agissant alors personnellement, a demandé à l’intimé une décision comprenant « l’argumentation y relative », indiquant ne pas comprendre comment il avait été décidé que son degré d’invalidité n’avait pas été modifié, compte tenu de « l’évolution de [s]es différents symptômes ». À cette suite, par courrier du 19 juillet 2023, l’intimé a indiqué à la recourante que, dans la procédure de contestation, il lui appartenait de lui fournir tous les éléments, en particulier des rapports détaillés, susceptibles de lui permettre de revoir la position qu’il avait exprimée dans sa communication du 22 juin 2023 ; à réception de ces éléments, le dossier serait une nouvelle fois examiné et une décision lui serait notifiée. Dans son avis du 6 octobre 2023, le SMR a procédé à l’examen des rapports médicaux produits par la recourante ensuite de l’avis du 19 juillet 2023. Il en a déduit que ces documents n’étaient pas de nature à modifier ses précédentes conclusions formulées le 15 juin 2023, lesquelles restaient d’actualité. Le même 6 octobre 2023, l’intimé, se fondant sur cet avis médical, a adressé à la recourante une « prise de position », par laquelle il a estimé que la situation était comparable à celle évaluée par les experts en juin 2023. cc) Comme le soutient la recourante, la « prise de position » de l’intimé ne saurait être assimilée à une décision au sens de l’art. 49 LPGA, ne serait-ce qu’en raison de son intitulé, mais surtout à défaut pour cette communication de comporter une indication des voies de recours (cf. art. 49 al. 3 LPGA). Cette indication apparaissait d’autant plus utile et nécessaire en l’espèce, dès lors que, le 13 juillet 2023, la recourante, agissant alors 10J010</w:t>
      </w:r>
    </w:p>
    <w:p>
      <w:r>
        <w:t>- 24 - sans l’assistance d’un mandataire professionnel, avait sollicité une décision sujette à recours, s’étant à cet égard spécifiquement enquise de la manière de procéder pour contester utilement la position exprimée par l’intimé. A cela s’ajoute que l’on ne se trouvait pas dans le cadre d’une révision d’office, lors de laquelle il aurait été constaté que les conditions d’octroi d’une prestation étaient manifestement remplies et correspondaient à la demande de l’assurée, de sorte que l’OAI ne pouvait légitimement pas prolonger le droit à la rente de l’assurée sans notification d’une décision au sens de l’art. 74ter let. f RAI. Il apparaît de surcroît que l’intimé a lui-même entretenu une certaine confusion quant au point de savoir si la demande de révision du 8 février 2022 avait valablement fait l’objet d’une décision entrée en force. Ainsi, alors que, le 4 octobre 2024, l’assureur privé BM.________ avait demandé à l’intimé de lui indiquer « où en était la procédure d’opposition de l’assurée du 13 juillet 2023 », il lui avait répondu, le 15 octobre 2024, que « la contestation [était] toujours en cours d’instruction ». dd) Cela posé, il faut en déduire qu’à défaut pour la demande de révision du 8 février 2022 d’avoir fait l’objet d’une décision entrée en force, l’objet du litige se rapporte en l’espèce au point de savoir si l’intimé était en droit de nier, à la date de la décision attaquée – soit le 26 mars 2025 –, une péjoration de l’état de santé de la recourante depuis la dernière décision entrée en force, à savoir en l’occurrence depuis celle du 27 août 2014, par laquelle le droit à une demi-rente d’invalidité a été reconnu à la recourante (degré d’invalidité : 50 %). 3. Dans un grief de nature formelle qu’il convient de traiter en premier lieu, la recourante se plaint d’une violation de son droit d’être entendue, au motif que l’intimé n’a, dans sa décision litigieuse, répondu qu’au seul grief médical au sujet de sa capacité de travail et de ses limitations fonctionnelles, sans se pencher sur les autres griefs invoqués dans ses objections du 18 novembre 2024 (procédure de révision de 2022 et non de 2024, aggravation dès le mois de mars 2021 et absence de 10J010</w:t>
      </w:r>
    </w:p>
    <w:p>
      <w:r>
        <w:t>- 25 - capacité de travail dans l’activité habituelle comme dans toute autre activité, application de la jurisprudence pour les assurés proches de l’âge de la retraite, absence de calcul du préjudice, avec abattement).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w:t>
      </w:r>
    </w:p>
    <w:p>
      <w:r>
        <w:rPr>
          <w:b/>
        </w:rPr>
        <w:t>E. 11</w:t>
      </w:r>
    </w:p>
    <w:p>
      <w:r>
        <w:t>consid. 5.3 ; 142 II 218 consid. 2.8.1 ; 137 I 195 consid. 2.2). 10J010</w:t>
      </w:r>
    </w:p>
    <w:p>
      <w:r>
        <w:t>- 26 -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TF 8C_414/2015 du 29 mars 2016 consid. 2.3). b) En l’occurrence, s’il est vrai que la décision rendue le 26 mars 2025 ne se positionne pas sur l’ensemble des griefs présentés par l’assurée dans le cadre de la procédure de contestation administrative, force est toutefois de constater que le raisonnement opéré par l’intimé ayant mené à la décision contestée est compréhensible. La recourante, par son conseil, a, d’ailleurs, été en mesure de faire valoir l’ensemble de ses moyens par- devant l’autorité de céans, de sorte que rien ne laisse à penser qu’elle n’aurait pas compris les enjeux de l’affaire ou n’aurait pas été en mesure de recourir valablement à l’encontre de la décision attaquée. Quoi qu’il en soit, la recourante a pu faire valoir ses moyens et relever les points qu’elle entendait contester dans le cadre d’un double échange d’écritures devant la Cour des assurances sociales du Tribunal cantonal, qui dispose d’un plein pouvoir d’examen (ATF 145 I 167 consid. 4.4 ; 142 II 218 consid. 2.8.1 ; 137 I 195 consid. 2.3.2). On ne distingue dès lors pas de violation du droit d’être entendu, étant mentionné qu’une hypothétique violation devrait, dans ces circonstances, être considérée comme réparée.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10J010</w:t>
      </w:r>
    </w:p>
    <w:p>
      <w:r>
        <w:t>- 27 -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10J010</w:t>
      </w:r>
    </w:p>
    <w:p>
      <w:r>
        <w:t>- 28 - la personne assurée (ATF 132 V 93 consid. 4 et les références citées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5. a) Par les griefs qu’elle développe dans son mémoire de recours, la recourante fait en particulier valoir que les éléments au dossier attestent une aggravation de son état de santé depuis 2021 et que l’expertise du N.________ rendue le 13 juin 2023, concluant à une capacité de travail de 50 % tant dans son activité habituelle que dans une activité adaptée, ne peut être considérée comme probante. b) aa) Il est rappelé en premier lieu qu’en 2014, le droit à une demi-rente a été reconnu à la recourante en lien avec les diagnostics d’hyperréactivité bronchique et de troubles neurologiques (nette diminution des performances : attention, mémoire, fonctions exécutives ; cf. avis SMR 10J010</w:t>
      </w:r>
    </w:p>
    <w:p>
      <w:r>
        <w:t>- 29 - du 1er mai 2024), qui eux-mêmes résultaient d’une encéphalopathie toxique sur exposition chronique aux solvants organiques (dichlorométhane) utilisés dans le cadre de son activité professionnelle de soudeuse dans le montage de [...], qu’elle avait exercée durant 29 ans, soit entre 1983 et 2012, auprès de C.________ SA. La recourante, sans formation professionnelle certifiée, conservait néanmoins une capacité de travail résiduelle de 50 % dans une activité adaptée à ses limitations fonctionnelles, lesquelles avaient alors été définies de la manière suivante : « Respiratoire : L’aération adéquate du poste de travail est impérative, activité ne demandant pas d’efforts physiques importants. Neuropsychologie : travail simple, prédictible » (cf. décision du 27 août 2014). bb) On notera que, par la suite, la recourante a continué à travailler à 50 % pour le compte de C.________ SA, ayant alors été affectée, non plus à des travaux de soudage, mais à « divers travaux d’assemblage » (cf. rapport employeur du 1er mars 2022). Elle a été licenciée en mars 2021 (cf. expertise du N.________, pp. 9, 11 et 36). c) Comme déjà relevé, une expertise pluridisciplinaire (médecine interne générale, neuropsychologie, pneumologie, psychiatrie et rhumatologie) a été mise en œuvre auprès du N.________ à la suite de la demande de révision formulée par la recourante le 8 février 2022, étant rappelé que cette dernière expliquait se trouver en incapacité de travail totale depuis mars 2021 en lien avec de nouvelles atteintes, en particulier sur le plan rhumatologique et psychiatrique. aa) A ce sujet, la recourante s’est, à raison, montrée critique par rapport au volet neuropsychologique de l’expertise. Sur ce plan en effet, Mme T.________ n’a rapporté aucun diagnostic, la capacité de travail de l’expertisée restant entière sous l’angle de cette spécialité, pour le motif que l’examen réalisé par celle-ci s’était révélé invalide et non plausible. L’experte avait ainsi retrouvé au testing psychométrique un tableau marqué par des résultats non crédibles et a évoqué des discordances qui ne 10J010</w:t>
      </w:r>
    </w:p>
    <w:p>
      <w:r>
        <w:t>- 30 - pouvaient pas s’expliquer par une atteinte à la santé. L’expertisée avait en particulier effectué vingt erreurs à un test très simple (CTT2), alors qu’elle se souvenait correctement de la consigne. Lors d’une épreuve d’apprentissage des mots, leur reconnaissance était inférieure à leur rappel libre, ce qui ne pouvait pas s’expliquer sur le plan neuropsychologique. Parmi les types de mesures de validation, il existait des indicateurs de validité dans les testings psychométriques classiques. Or l’intéressée avait présenté à diverses reprises des résultats nettement au-dessous des valeurs proposées dans la littérature scientifique. Par ailleurs, au test de validation des performances, les scores étaient extrêmement faibles, y compris à des tâches très simples et peu sensibles. Les conclusions de Mme T.________ n’apparaissent pas convaincantes sachant que la recourante souffrait effectivement d’une « encéphalopathie toxique sur exposition chronique aux solvants organiques » – diagnostic reconnu par l’expert pneumologue – et qu’il avait été révélé lors d’un examen réalisé au CHUV en juillet 2013 que l’assurée souffrait d’un « déficit de mémoire à court terme, de travail et épisodique verbale, d’un dysfonctionnement exécutif et d’une fatigabilité importante ». L’absence de diagnostic incapacitant sur le plan neuropsychologique apparaît d’autant plus douteuse qu’en 2014, c’étaient précisément ces troubles neuropsychologiques, tenus alors pour irréversibles par le SMR ainsi que par la Z.________, compte tenu des éléments au dossier, qui avaient motivé – avec l’atteinte bronchique – la reconnaissance d’une capacité de travail limitée à 50 % (cf. avis SMR du 1er mai 2014). Partant, en tant que l’experte neuropsychologue a tenu le test effectué pour non probant, car invalide, il lui aurait appartenu de réitérer ce test et de tenter ainsi d’obtenir un résultat exploitable. L’experte ne pouvait en tout cas pas déduire du caractère inexploitable du premier test effectué qu’il n’existait pas (ou plus) d’atteinte à la santé neuropsychologique ni incapacité alors qu’une telle atteinte avait été établie, car documentée, depuis 2013. 10J010</w:t>
      </w:r>
    </w:p>
    <w:p>
      <w:r>
        <w:t>- 31 - Il est par ailleurs observé qu’à l’inverse de l’experte neuropsychologue, les experts pneumologue et psychiatre du N.________ n’avaient pas fait état d’incohérences cliniques dans le comportement de la recourante. L’expert psychiatre avait en particulier souligné que les troubles cognitifs étaient « fixés dans le temps », ce qui tend à confirmer le caractère irréversible de ces troubles, tel que mis en exergue en 2014. bb) Cela étant, quand bien même le volet neuropsychologique de l’expertise du N.________ ne saurait être considéré comme probant, il n’est pas certain qu’une nouvelle appréciation conduirait à une évaluation consensuelle différente. Les troubles neuropsychologiques sont en effet présents depuis 2013 et n’ont pas empêchés l’assurée, à la suite de la reconnaissance d’une invalidité de 50 % en partie fondée sur ces troubles, d’exercer une activité d’assemblage auprès de son employeur à un taux de 50 %. Au demeurant, la nouvelle demande déposée par l’assurée en février 2022 ne se fonde pas sur une aggravation de ces troubles, mais sur l’apparition de nouvelles atteintes d’ordre rhumatologique et psychiatrique. Or, selon l’expertise réalisée par le N.________ du 13 juin 2023, l’ensemble des experts s’accorde pour considérer que l’activité habituelle de l’assurée demeure adaptée et que celle-ci conserve une capacité de travail de 50 %, identique à celle retenue antérieurement. Partant, il est vraisemblable qu’une nouvelle appréciation aboutirait à la même évaluation globale de la capacité de travail. Quoi qu’il en soit, cette question peut demeurer indécise au regard des développements exposés ci-après. d) La recourante a en effet le droit à une rente entière d’invalidité pour les motifs qui suivent. aa) Il faut d’abord prendre en considération que les expertises établies sur les plans rhumatologique et psychiatrique mettent en lumière, de manière suffisamment probante pour leur part, une évolution défavorable, dans le sens d’une aggravation, de l’état de santé de la recourante depuis la décision du 27 août 2014. Les experts ayant fonctionné dans le cadre de ces deux volets de l’expertise ont en effet tous deux fait état d’atteintes nouvelles, ou à tout le moins qui ont évolué 10J010</w:t>
      </w:r>
    </w:p>
    <w:p>
      <w:r>
        <w:t>- 32 - défavorablement depuis 2014, justifiant selon eux la définition de nouvelles limitations fonctionnelles ainsi que la prise en compte de diminutions de rendement affectant la capacité de travail de la recourante. En particulier, si l’expert rhumatologue a certes fait état d’un « examen normal » s’agissant des douleurs aux genoux, qui étaient « très élevées par rapport aux diagnostics posés », il n’en demeure pas moins que, selon lui, la fibromyalgie et les douleurs aux genoux étaient incapacitantes en tant qu’elles justifiaient des limitations fonctionnelles non retenues en 2014 (« Pas de position à genoux et accroupie maintenue ; éviter les montées et les descentes d’escaliers répétées ; pas de travail en hauteur ; pas d’utilisation d’engins vibrants ; changement de position régulier »), limitations qui avaient elles-mêmes une incidence sur le rendement de la recourante, à raison de 20 %, dans le cadre d’une activité habituelle ou adaptée. Ainsi que cela ressort des développements de l’expert, les douleurs aux genoux, en particulier au genou gauche, constituent des séquelles d’une chute subie en février 2020, ayant entraîné une déchirure de la corne latérale du ménisque interne (fissure horizontale de grade 3) et une distorsion du ligament collatéral interne de grade 1, qui a elle-même nécessité deux arthroscopies, avec méniscectomie partielle. Les différents rapports médicaux produits par la recourante tendent du reste à corroborer l’existence d’atteintes rhumatologiques et orthopédiques durables, survenues postérieurement à l’expertise, notamment au genou droit. Il en va ainsi des rapports du Dr K.________ du 14 mars 2024 (qui fait état d’un « lâchage de la cheville à gauche nécessitant une surcharge sur le genou droit » avec « décompensation douloureuse », posant alors comme diagnostic une « gonalgie droite avec trouble dégénératif débutant et possible lésion méniscale interne ») et du 14 août 2024 (qui fait état d’une nouvelle arthroscopie subie le 4 juin 2024, en lien avec une « déchirure complexe de la corne postérieure du ménisque interne du genou droit »). S’agissant du trouble de l’adaptation avec réaction dépressive prolongée, dont on rappelle que l’expert psychiatre a estimé justifiée la prise en compte de limitations fonctionnelles (« Activité répétitive maîtrisée sans sollicitation intellectuelle ; fatigue et fatigabilité objectivées ») ainsi 10J010</w:t>
      </w:r>
    </w:p>
    <w:p>
      <w:r>
        <w:t>- 33 - que d’une diminution de rendement de 30 %, il ressort des développements de l’expertise que cette atteinte était consécutive à son licenciement survenu en mars 2021, qu’elle avait vécu comme une profonde injustice. Si l’expert fait certes remonter la diminution de rendement à 2013, soit antérieurement à la dernière décision entrée en force, l’expert se réfère à cet égard au rapport du Dr D.________ du 14 avril 2014, qui avait noté à l’époque une symptomatologie déjà anxieuse et dépressive, en lien avec l’apparition sa pathologie somatique. Il apparaît toutefois clair que le trouble diagnostiqué par l’expert se rapporte essentiellement à une exacerbation de son trouble consécutivement à son licenciement, qui a occasionné une anxiété ainsi que des insomnies entraînant encore une fatigabilité et une tension anxieuse à la date de l’expertise, soit plus de deux ans après son dernier jour de travail. bb) Malgré l’évolution défavorable de l’état de santé de la recourante, les experts ont en définitive retenu que celle-ci demeurait capable d’exercer son activité habituelle, laquelle était adaptée aux nouvelles limitations fonctionnelles, à 50 %. Pourtant, et contrairement à la réflexion menée par l’OAI, même si l’on devait retenir que l’expertise menée par le N.________ le 13 juin 2023 est entièrement probante et que ses conclusions doivent être suivies, force est de constater que les circonstances d’espèce ont changé, l’intéressée ayant été licenciée en mars 2021. Dans ces circonstances, on ne pouvait donc pas se limiter à considérer que le degré d’invalidité n’avait pas changé au point d’influencer son droit à la rente, comme cela ressort des communications de l’OAI des 22 juin et 6 octobre 2023. En effet, dès lors que l’assurée a perdu l’emploi concret pris en compte lors de l’octroi initial de la demi-rente d’invalidité (cf. décision du 27 août 2014) et qu’elle n’exerce plus d’activité lucrative depuis 2021, il en résulte que le revenu d’invalidité doit désormais être déterminé sur la base de valeurs moyennes statistiques selon l’ESS, ce qui constitue un motif de révision selon la jurisprudence constante du Tribunal fédéral (cf. ATF 135 V 297 consid. 5.2 ; TF 9C_325/2013 du 22 octobre 2013 consid. 3.4 et les 10J010</w:t>
      </w:r>
    </w:p>
    <w:p>
      <w:r>
        <w:t>- 34 - références citées). Il incombait donc à l’intimé d’examiner à nouveau le droit à la rente sous tous ses aspects factuels et juridiques (cf. ATF 141 V 9 consid. 2.3). En l’occurrence, comme allégué par la recourante, c’est à la lumière de la jurisprudence relative aux assurés proches de l’âge de la retraite, telle qu’exposée ci-après, que le cas de l’assurée aurait dû être examiné. aaa)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10J010</w:t>
      </w:r>
    </w:p>
    <w:p>
      <w:r>
        <w:t>- 35 - l'étendue de l'invalidité, même s'ils rendent parfois difficile, voire impossible la recherche d'une place et, partant, l'utilisation de la capacité de travail résiduelle (TF 9C_774/2016 du 30 juin 2017 consid. 5.2 ; TF 9C_716/2014 du 19 février 2015 consid. 4.1).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précité consid. 7.2). Il est par ailleurs admis que le seuil à partir duquel on peut parler d’âge avancé se situe autour de 60 ans, même si le Tribunal fédéral n’a pas fixé d’âge limite jusqu’à présent (ATF 138 V 457 consid. 3.1 ; TF 9C_612/2007 du 14 juillet 2008 consid. 5.2). bbb) En l’espèce, à la date de l’expertise effectuée le 13 juin 2023, dont on a vu qu’elle a mis en lumière des diagnostics incapacitants engendrant des limitations fonctionnelles à la fois sur les plans pneumologique, rhumatologique et psychiatrique, la recourante se trouvait à trois mois d’atteindre l’âge de 60 ans. 10J010</w:t>
      </w:r>
    </w:p>
    <w:p>
      <w:r>
        <w:t>- 36 - Si, dans leur évaluation consensuelle, les experts ont certes estimé qu’en dépit de ses atteintes, la recourante conservait, d’un point de vue médico-théorique, une capacité de travail de 50 % dans son activité habituelle, tout comme dans une activité adaptée, il n’apparaît concrètement pas réaliste que la recourante, sans activité professionnelle depuis son licenciement en mars 2021, soit en mesure de retrouver un emploi sur un marché équilibré du travail à son âge. Il y a lieu de rappeler que l’intéressée a travaillé depuis son arrivée en Suisse en 1983 exclusivement pour le même employeur, en qualité de soudeuse, puis d’ouvrière en charge de travaux d’assemblage, sans formation reconnue ni expérience dans un autre secteur d’activité. Il est également observé que les limitations fonctionnelles de la recourante s’attachent non seulement à des capacités physiques diminuées et à une fatigabilité accrue, mais également à l’absence de contacts sociaux et verbaux (en raison de sa toux chronique), ainsi qu’à l’absence de toute sollicitation intellectuelle. On relèvera encore que l’expertisée, qui a arrêté l’école très jeune pendant son enfance passée en V***, ne sait pas lire ni écrire, pas plus qu’elle n’est en mesure d’utiliser les outils informatiques (cf. expertise, évaluation consensuelle, p. 5). Compte tenu de la situation personnelle et professionnelle de la recourante, on peine à concevoir qu’un employeur consente les moyens et les efforts nécessaires pour lui permettre de se réinsérer dans le monde du travail, et ce pour un emploi d'emblée limité dans le temps. ccc) Dans ces conditions, il convient de conclure que l’assurée n’est pas en mesure de retrouver un emploi adapté à ses limitations fonctionnelles sur un marché équilibré du travail et qu’elle présente dès lors une invalidité totale sur le plan professionnel depuis le mois de mars 2021, date de l’aggravation de son état de santé, lui ouvrant le droit à une rente entière d’invalidité. Toutefois, en application de l’art. 88bis al. 1 let. a RAI, l’augmentation de la rente ne peut prendre effet qu’à compter du mois durant lequel la recourante a présenté sa demande de révision, à savoir en l’occurrence dès le 1er février 2022. 10J010</w:t>
      </w:r>
    </w:p>
    <w:p>
      <w:r>
        <w:t>- 37 - 6. Au vu de l’issue du litige, la requête de la recourante tendant à la mise en œuvre d’une nouvelle expertise est sans objet. 7. a) En définitive, le recours doit être admis et la décision entreprise réformée en ce sens que la recourante a droit à une rente entière d’invalidité depuis le 1er février 2022.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