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ZD25.020253 vom 10. April 2026</w:t>
      </w:r>
    </w:p>
    <w:p>
      <w:r>
        <w:t>VD Tribunal cantonal, 2026-04-10, FR</w:t>
      </w:r>
    </w:p>
    <w:p>
      <w:r>
        <w:rPr>
          <w:b/>
        </w:rPr>
        <w:t xml:space="preserve">Quelle: </w:t>
      </w:r>
      <w:r>
        <w:t>https://mcp.opencaselaw.ch/entscheid/vd_gerichte_ZD25.020253</w:t>
      </w:r>
    </w:p>
    <w:p>
      <w:r>
        <w:t>FR: VD_GERICHTE ZD25.020253 du 10 avril 2026</w:t>
      </w:r>
    </w:p>
    <w:p>
      <w:r>
        <w:t>IT: VD_GERICHTE ZD25.020253 del 10 aprile 2026</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10J010</w:t>
      </w:r>
    </w:p>
    <w:p>
      <w:r>
        <w:t>- 14 - valoir son droit aux prestations conformément à l’art. 29 al. 1 LPGA, mais pas avant le mois qui suit le 18e anniversaire de l’assuré (art. 29 al. 1 LAI).</w:t>
      </w:r>
    </w:p>
    <w:p>
      <w:r>
        <w:rPr>
          <w:b/>
        </w:rPr>
        <w:t>E. 4</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b) Aux termes de l’art. 17 al. 1 LPGA (dans sa teneur en vigueur au 1er janvier 2022), la rente d’invalidité est, d’office ou sur demande, révisée pour l’avenir, à savoir augmentée, réduite ou supprimée, lorsque le taux d’invalidité de l’assuré subit une modification d’au moins 5 points de pourcentage (let. a), ou atteint 100 % (let. b).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10J010</w:t>
      </w:r>
    </w:p>
    <w:p>
      <w:r>
        <w:t>- 15 - examen matériel du droit à la rente avec une constatation des faits pertinents, une appréciation des preuves et, si nécessaire, une comparaison des revenus – et les circonstances régnant à l’époque de la décision litigieuse (ATF 147 V 167 consid. 4.1 ; 133 V 108 consid. 5.2).</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10J010</w:t>
      </w:r>
    </w:p>
    <w:p>
      <w:r>
        <w:t>- 16 - contenu (ATF 134 V 231 consid. 5.1 ; 125 V 351 consid. 3a ; TF 8C_71/2024 du 30 août 2024 consid. 3.3).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8C_105/2022 du 12 juillet 2022 consid. 4.1).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9C_253/2024 du 17 octobre 2024 consid. 3.3).</w:t>
      </w:r>
    </w:p>
    <w:p>
      <w:r>
        <w:rPr>
          <w:b/>
        </w:rPr>
        <w:t>E. 6</w:t>
      </w:r>
    </w:p>
    <w:p>
      <w:r>
        <w:t>En l’espèce, il y a lieu d’examiner si, entre la décision – entrée en force – du 23 janvier 2015 refusant au recourant le droit à une rente d’invalidité – dernière décision reposant sur un examen matériel du droit à la rente – et la décision litigieuse du 11 mars 2025, un changement important des circonstances propres à influencer le degré d’invalidité – et donc le droit à la rente – s’est produit. Pour ce faire, il est nécessaire de comparer les faits tels qu’ils se présentaient au moment de la décision du</w:t>
      </w:r>
    </w:p>
    <w:p>
      <w:r>
        <w:rPr>
          <w:b/>
        </w:rPr>
        <w:t>E. 11</w:t>
      </w:r>
    </w:p>
    <w:p>
      <w:r>
        <w:t>mars 2025 aux circonstances qui prévalaient à l’époque de la décision du 23 janvier 2015. a) A ce titre, il ressort du dossier que les affections somatiques du recourant, en particulier les dorso-lombalgies chroniques, la discarthrose L5-S1 et la hernie discale, la discopathie débutant L4-L5, les omalgies gauches, l’arthropathie acromio-claviculaire et le syndrome cervico-brachial n’avaient, en 2015, pas été considérées comme incapacitants dans une activité adaptée à ses limitations fonctionnelles, à savoir les activités évitant les mouvements répétitifs au-dessus de l’horizontale avec le bras gauche, le port de charges de plus de 5 kg avec long bras de levier de 10J010</w:t>
      </w:r>
    </w:p>
    <w:p>
      <w:r>
        <w:t>- 17 - manière répétitive, les mouvements d’antéversion et de rotation du tronc répétitifs et les positions immobiles de plus de 3 minutes. b) Dans le cadre de la nouvelle demande du 31 août 2021, l’office intimé a reçu les rapports des 6 et 10 septembre et 19 novembre 2021 et 7 février 2022 du Dr G.________, le rapport d’IRM lombaire du 26 mai 2021 du Dr N.________, le rapport du 4 juin 2021 du Dr J.________, le rapport 2 février 2022 du Dr K.________ et de la psychologue L.________, les rapports des 15 février, 19 avril et 20 octobre 2022 du Dr P.________, ainsi que le rapport du 12 avril 2022 du Dr B.________. Il ressort de ces pièces que, sur le plan somatique, le recourant souffrait d’un status post spondylodèse L5-S1 sur une discopathie sévère L5-S1, d’une discopathie avec protrusion discale L4-L5 et de cervicalgies sur arthrose C5-C6 et C6-C7 (cf. rapports des 6 et 10 septembre et 19 novembre 2021 et 7 février 2022 du Dr G.________, des 15 février, 19 avril et 20 octobre 2022 du Dr P.________ et rapport d’IRM lombaire du 26 mai 2021 du Dr N.________), d’un status après thrombose veineuse profonde distale en septembre 2021 et d’une insuffisance veineuse d’origine superficielle de stade C2 au membre inférieur droit (cf. rapport du</w:t>
      </w:r>
    </w:p>
    <w:p>
      <w:r>
        <w:rPr>
          <w:b/>
        </w:rPr>
        <w:t>E. 12</w:t>
      </w:r>
    </w:p>
    <w:p>
      <w:r>
        <w:t>avril 2022 du Dr B.________). De ce fait, le recourant a présenté une incapacité de travail totale dès le 19 avril 2021 dans son activité d’aide- jardinier, avec pour conséquence la perte de son emploi pour la fin du premier semestre de 2021. Sur le plan psychiatrique, le recourant était atteint d’un épisode dépressif moyen, avec syndrome somatique (CIM-10 F32.11), et de difficultés liées à la dislocation de la famille par séparation et divorce (CIM- 10 Z63.5), lui provoquant de la déconcentration, des pertes mnésiques et une hypersensibilité au stress (cf. rapports du 4 juin 2021 du Dr J.________ et du 2 février 2022 du Dr K.________ et de la psychologue L.________). Le Dr K.________ et la psychologue L.________ considéraient que le recourant était capable de travailler à 50 % dans une activité adaptée. 10J010</w:t>
      </w:r>
    </w:p>
    <w:p>
      <w:r>
        <w:t>- 18 - c) Sur la base de ces constatations, l’office intimé est entré en matière et a ordonné la réalisation d’une expertise bidisciplinaire en psychiatrie et rhumatologie auprès de BA.________ Sàrl. Selon le rapport d’expertise du 21 août 2023, le recourant souffre d’un status de chirurgie lombaire avec spondylodèse et vis L5-S1 et L4-L5, de cervico-dorso- lombalgies sur discopathie cervicale et lombaire, et, à titre d’affection non incapacitante, de troubles anxieux et dépressif mixte (CIM-10 F41.2) et de troubles mentaux et troubles du comportement, liés à l’utilisation d’alocool (utilisation nocive pour la santé ; CIM-10 F10.1). Sur le plan rhumatologique, cela implique une capacité de travail nulle dans l’activité habituelle et de 90 % dans une activité ne nécessitant pas de porter des charges de plus de 5-10 kg de façon répétée, de surcharger le rachis dans sa totalité, de monter des échelles ou des échafaudages et permettant d’alterner les positions. aa) En l’état du dossier, il n’y a pas lieu de s’écarter des conclusions de l’expertise de BA.________ Sàrl. En effet, elles résultent d’une analyse exhaustive et bidisciplinaire de la situation médicale du recourant qui permet d’apprécier valablement les atteintes à la santé dans leur globalité et leurs répercussions sur la capacité de travail. Les développements des experts montrent qu’ils ont eu accès à l’intégralité du dossier. Ils ont également méthodiquement discuté des diverses pathologies du recourant, en comparant les diagnostics des médecins traitants aux leurs, en expliquant pour quels motifs ils s’en écartaient le cas échéant et en évaluant la cohérence et la plausibilité des plaintes de l’expertisé et les examens cliniques effectués. Ainsi, sur le plan psychiatrique, le Dr E.________ a expliqué qu’en raison notamment de l’autonomie du recourant dans la réalisation des tâches de la vie quotidienne, celui-ci ne présentait aucun signe objectif en faveur d’une pathologie dépressive ou anxieuse notable (cf. ch. 6.2, p. 42 du rapport du 21 août 2023). bb) Le dossier ne contient aucune appréciation médicale propre à susciter le doute quant au bien-fondé des conclusions de cette expertise. Sur le plan somatique, les conclusions du Dr O.________ sont similaires à celles des médecins traitants, tant au niveau des diagnostics que des 10J010</w:t>
      </w:r>
    </w:p>
    <w:p>
      <w:r>
        <w:t>- 19 - limitations fonctionnelles. A l’exception du Dr Q.________, aucun des médecins traitants ne s’est toutefois prononcé sur la capacité de travail résiduelle du recourant. Concernant le point de vue du Dr Q.________, celui- ci n’apparaît pas suffisamment étayé pour remettre en question l’expertise du Dr O.________, dès lors qu’il n’explique pas les raisons pour lesquelles il estime que son patient ne serait pas en mesure d’exercer une activité adaptée à ses limitations fonctionnelles, la formulation choisie (« 0 % actuellement ») laissant augurer au contraire une incapacité de travail passagère. De même, on ne saurait reprocher à l’intimé de ne pas avoir investigué le prétendu problème lié à l’hyperthyroïdie du recourant, au vu de l’absence d’éléments médicaux attestant d’une incapacité en lien avec ce trouble. Pour finir, le diagnostic de retard mental posé ultérieurement (cf. rapport du 8 mai 2025 des Drs Y.________ et Z.________), bien que recevable car concernant la situation médicale du recourant prévalant avant le rendu de la décision du 11 mars 2025 (cf. supra consid. 5c), ne justifie pas de procéder à un réexamen de la situation, dès lors que rien n’indique que ce diagnostic aurait pu constituer, au moment de la réalisation de l’expertise, un frein à la réintégration de l’intéressé sur le marché du travail, étant précisé que celui-ci a travaillé quasiment sans interruption depuis son arrivée en Suisse en 2001. cc) Il convient cependant de relever que plusieurs pièces médicales produites par le recourant attestent d’une aggravation survenue à l’été 2024, vraisemblablement au mois de juillet (cf. rapports du</w:t>
      </w:r>
    </w:p>
    <w:p>
      <w:r>
        <w:rPr>
          <w:b/>
        </w:rPr>
        <w:t>E. 17</w:t>
      </w:r>
    </w:p>
    <w:p>
      <w:r>
        <w:t>octobre 2024 du Dr S.________ et du 25 novembre 2024 de la Dre T.________). Intervenue dans le contexte de la séparation de son ex- compagne, cette péjoration de l’état de santé du recourant aurait entraîné, d’une part, une exacerbation de la symptomatologie douloureuse et anxio- dépressive et, d’autre part, un épuisement des faibles ressources adaptatives disponibles (cf. rapports des 8 et 28 mai 2025 des Drs Y.________ et Z.________ et du 19 septembre 2025 du Dr V.________). Dès lors que l’atteinte à la santé diffère de celle ayant motivé le dépôt de la demande du 31 août 2021, elle doit être considérée comme constitutive d’un nouveau cas d’assurance (ATF 136 V 369 consid. 3.1 ; TF 9C_566/2020 du 16 juin 2021 consid. 5.3). Dans la mesure toutefois où la décision 10J010</w:t>
      </w:r>
    </w:p>
    <w:p>
      <w:r>
        <w:t>- 20 - litigieuse du 11 mars 2025 a été rendue avant l’échéance du délai de carence d’une année permettant de tenir compte de cette aggravation (cf. art. 28 al. 1 let. c LAI), elle ne peut être prise en compte dans le cadre de la présente procédure. Cela étant, il se justifie d’inviter l’office intimé à reprendre d’office l’instruction du dossier, afin de déterminer si l’évolution de l’état de santé du recourant peut justifier l’ouverture d’un droit aux prestations. d) Dès lors, au regard des considérations qui précèdent, il s’agit de confirmer les conclusions du rapport d’expertise du 21 août 2023 de BA.________ Sàrl, lesquelles ne sont pas contredites par les médecins traitants, et de retenir que le recourant présente, depuis le 19 avril 2021, une capacité de travail nulle dans l’activité habituelle d’aide-jardinier et de 90 % dans une activité adaptée. 7. Une incapacité de travail dans l’activité habituelle étant admise, il convient encore de calculer le degré d’invalidité du recourant, afin de savoir si ce dernier peut prétendre à une rente. a) En l’espèce, le recourant présente une incapacité totale de travail dans son activité habituelle depuis le 19 avril 2021. L’année déterminante pour la comparaison des revenus est 2022, à savoir l’année de naissance de l’éventuel droit à la rente (cf. ATF 129 V 222), un an après la survenance de l’incapacité de travail durable (cf. art. 28 al. 1 let. b LAI). b) aa) Pour l’année 2022, le revenu sans invalidité de l’intéressé s’élevait à 60'168 fr. 65, ce qui correspondait au salaire de 2021 (59'514 fr. [4'578 fr. versé 13 fois l’an] ; cf. questionnaire pour l’employeur du 22 novembre 2021) après indexation à 2022 (1,1 % ; cf. Office fédéral de la statistique [ci-après : OFS], tableau T39 « Evolution des salaires nominaux, des prix à la consommation et des salaires réels 2010-2024 »). bb) Dès lors que le recourant n’a jamais repris d’activité lucrative dans une profession adaptée, le revenu avec invalidité doit être déterminé à l’aune des tableaux TA1_skill-level de l’Enquête suisse sur la 10J010</w:t>
      </w:r>
    </w:p>
    <w:p>
      <w:r>
        <w:t>- 21 - structure des salaires (ci-après : ESS), publiés tous les deux ans par l’OFS en se fondant sur les données statistiques les plus récentes (cf. ATF 126 V 75 ; MARGIT MOSER-SZELESS, in Dupont/Moser-Szeless [édit.], Loi sur la partie générale des assurances sociales, Commentaire romand, 2e éd., Bâle 2025, n° 25, 25a et n° 33 ad art. 16). Sur cette base, il y a lieu d’arrêter le revenu avec invalidité du recourant à 59'729 fr. correspondant au salaire moyen touché par un homme dans des activités manuelles simples (ESS 2022, Tableau TA1_tirage_skill_level, total hommes, niveau de compétence 1) après prise en compte d’une durée de travail de 41,7 heures dans cette branche économique (cf. OFS, Durée normale du travail dans les entreprises selon la division économique [NOGA 2008], en heures par semaine, T 03.02.03.01.04.01 ; salaire mensuel de 5'305 fr. pour 40 heures x 41,7 heures x 12 mois, pondéré à 90 %). cc) Sous l’ancien droit, la jurisprudence admettait de procéder à une déduction de 25 % au maximum pour tenir compte du fait que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était nécessaire (ATF 148 V 174 consid. 6.3 ; 146 V 16 consid. 4.1 ; 126 V 75). Selon l’art. 26bis al. 3 RAI, dans sa teneur en vigueur du 1er janvier 2022 au 31 décembre 2023,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10J010</w:t>
      </w:r>
    </w:p>
    <w:p>
      <w:r>
        <w:t>- 22 - En l’espèce, il ne se justifie pas de procéder à un abattement sur le salaire statistique pris en compte pour fixer le revenu d’invalide. En effet, les limitations fonctionnelles de l’intéressé (pas de port de charges de plus de 5-10 kg de façon répétée, pas de surcharge du rachis dans sa totalité, pas de montée d’échelles ou d’échafaudages et alternance de positions) ont dûment été prises en considération par les experts dans leur appréciation de sa capacité de travail et par l’intimé lors du choix des postes raisonnablement exigibles (domaine industriel léger, ouvrier à l’établi), dont l’éventail apparaît suffisamment large. Quant aux autres facteurs, il ne semble pas qu’ils puissent jouer un rôle significatif sur les perspectives salariales du recourant, compte tenu de la nature des activités encore exigibles. dd) Partant, il résulte de la comparaison des revenus déterminants (60'168 fr. 65 et 59'729 fr.) un degré d’invalidité arrondi de 1 % (cf. ATF 130 V 121 consid. 3.3), lequel n’est pas suffisant pour ouvrir le droit à une rente, faute d’atteindre le seuil de 40 % fixé à l’art. 28 al. 1 let. c LAI. c) Dans sa nouvelle teneur depuis le 1er janvier 2024, l’art. 26bis al. 3 RAI prévoit une déduction forfaitaire de 10 % lorsque le revenu avec invalidité est déterminé en fonction des valeurs statistiques. Cette disposition s’applique également lorsque l’octroi d’une rente a été refusé avant son entrée ne vigueur en raison d’un taux d’invalidité insuffisant, pour autant qu’une nouvelle demande n’établisse de façon plausible qu’un calcul du taux d’invalidité effectué en application de l’art. 26bis al. 3 RAI pourrait aboutir cette fois à la reconnaissance d’un droit à la rente (cf. dispositions transitoires relatives à la modification du 18 octobre 2023 ; RO 2023 635). Le degré d’invalidité pour l’année 2022 étant insuffisant pour l’octroi d’une rente, il se justifie donc de procéder au calcul également pour l’année 2024, afin de déterminer si cette déduction supplémentaire permet d’aboutir à la reconnaissance d’un droit à la rente. Pour l’année 2024, il y a lieu d’arrêter le revenu sans invalidité du recourant à 61'925 fr. 82 correspondant au salaire 2022 indexé (1,7 % 10J010</w:t>
      </w:r>
    </w:p>
    <w:p>
      <w:r>
        <w:t>- 23 - en 2023 et 1,2 % en 2024). En ce qui concerne le revenu annuel avec invalidité, celui-ci s’élève à 55'325 fr. 99, correspondant au salaire exigible de 2022 indexé (1,7 % en 2023 et 1,2 % en 2024) duquel il convient encore de procéder à une déduction de 10 %. Il résulte de la comparaison des revenus déterminants (61'925 fr. 82 et 55'325 fr. 99) un degré d’invalidité arrondi de 10 %, lequel n’est toujours pas suffisant pour ouvrir le droit à une rente, faute d’atteindre le seuil de 40 % fixé à l’art. 28 al. 1 let. c LAI. d) Partant, au vu de ce qui précède, force est de constater que la situation médicale du recourant s’est objectivement péjorée depuis le 23 janvier 2015, mais pas dans une ampleur suffisante pour permettre l’octroi d’une rente de l’assurance-invalidité. C’est donc à juste titre que l’intimé a nié ce droit au recourant. 8. Ainsi qu’on l’a vu, l’état de santé du recourant est péjoré depuis le mois de juillet 2024 sur le plan psychiatrique. Aussi convient-il de renvoyer la cause à l’intimé pour reprise de l’instruction à ce propos. 9. Les pièces médicales au dossier permettant à la Cour de céans de statuer en pleine connaissance de cause, les requêtes du recourant tendant à la mise en œuvre d’une expertise peuvent dès être rejetées par appréciation anticipée des preuves (ATF 145 I 167 consid. 4.1 ; 140 I 285 consid. 6.3.1 ; 130 II 425 consid. 2.1). 10. a) En définitive, le recours, mal fondé, doit être rejeté et la décision rendue le 11 mai 2025 par l’intimé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à la partie recourante, qui n’obtient pas gain de cause (art. 61 let. g LPGA). 10J010</w:t>
      </w:r>
    </w:p>
    <w:p>
      <w:r>
        <w:t>- 24 - d) Le recourant est au bénéfice de l’assistance judiciaire (cf. décision du juge instructeur du 1er mai 2025). Les frais judiciaires sont donc provisoirement supportés par l’Etat et Me David Métille peut prétendre une équitable indemnité pour son mandat d’office. Après examen de la liste des opérations déposée le 12 novembre 2025, compte tenue de l’importance et de la complexité du litige, il convient d’arrêter l’indemnité à 3'098 fr. 70, débours et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let. b CPC [code fédéral de procédure civile du 19 décembre 2008 ; RS 272], applicable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