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ZD25.013400 vom 16. Dezember 2025</w:t>
      </w:r>
    </w:p>
    <w:p>
      <w:r>
        <w:t>VD Tribunal cantonal, 2025-12-16, FR</w:t>
      </w:r>
    </w:p>
    <w:p>
      <w:r>
        <w:rPr>
          <w:b/>
        </w:rPr>
        <w:t xml:space="preserve">Quelle: </w:t>
      </w:r>
      <w:r>
        <w:t>https://mcp.opencaselaw.ch/entscheid/vd_gerichte_ZD25.013400</w:t>
      </w:r>
    </w:p>
    <w:p>
      <w:r>
        <w:t>FR: VD_GERICHTE ZD25.013400 du 16 décembre 2025</w:t>
      </w:r>
    </w:p>
    <w:p>
      <w:r>
        <w:t>IT: VD_GERICHTE ZD25.013400 del 16 dicembre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w:t>
      </w:r>
    </w:p>
    <w:p>
      <w:r>
        <w:t>- 9 - diminution sensible de la capacité de travail, un taux d'incapacité de 20 % étant déjà considéré comme pertinent en ce sens (TF 8C_718/2018 du 21 février 2019 consid. 2.2 ; TF 9C_162/2011 du 11 novembre 2011 consid. 2.3). c) Lorsqu’une rente a été refusée parce que le degré d’invalidité était insuffisant, une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w:t>
      </w:r>
    </w:p>
    <w:p>
      <w:r>
        <w:rPr>
          <w:b/>
        </w:rPr>
        <w:t>E. 5</w:t>
      </w:r>
    </w:p>
    <w:p>
      <w:r>
        <w:t>a) En l'espèce, l'intimé est entré en matière sur la nouvelle demande de prestations déposée par la recourante le 7 juin 2024, admettant que, sur le plan psychiatrique, son état de santé s'était détérioré depuis la décision de refus de rente rendue le 3 novembre 2015. Il ressortait en effet du rapport médical établi le 1er juin 2024 par la Dre J.________ que la recourante avait présenté une recrudescence de symptômes anxieux et dépressif sévère, ayant justifié une incapacité de travail depuis le 26 février 2024.</w:t>
      </w:r>
    </w:p>
    <w:p>
      <w:r>
        <w:t>- 10 - Cependant, la recourante avait été en mesure de reprendre, à compter de la rentrée scolaire 2024-2025, soit dès le 26 août 2024, ses activités habituelles d'assistante à l'intégration et d'accompagnante parascolaire, ceci aux taux contractuels. Dans la mesure où la recourante avait ainsi présenté une incapacité de travail d'une durée inférieure à une année, le droit à la rente était exclu (cf. art. 28 al. 1 let. b LAI) et la demande de prestations devait être rejetée. b) Le raisonnement de l'intimé doit être confirmé. aa) Dans son recours, la recourante fait valoir que la reprise de ses activités habituelles à compter de la rentrée scolaire d'août 2024 ne s'était pas bien passée, indiquant avoir présenté des « absences perlées répétées ». Compte tenu de la péjoration de sa situation, elle explique avoir entamé, le 3 décembre 2024, un suivi auprès de la Dre N.________, médecin assistante auprès du service de psychiatrie générale des Consultations de S***. bb) Il n'en demeure pas moins que, comme la recourante le reconnaît expressément, elle a été en mesure de travailler depuis le 26 août 2024 et jusqu'au 28 février 2025, date à partir de laquelle la Dre N.________ a, pour la première fois, attesté de son incapacité de travail à 100 %. En conséquence, comme l'a retenu l'intimé, il apparaît effectivement qu'à la date de la décision attaquée (le 24 février 2025), la condition de l'incapacité de travail d'une année au moins – de 40 % au minimum –, décrite à l'art. 28 al. 1 let. b LAI, n'était pas réalisée, la recourante n'ayant en définitive présenté une incapacité de travail (d'au moins 40 % en moyenne) attestée médicalement que durant la période s'étendant du 26 février 2024 au 25 août 2024, soit une période de six mois environ. La décision attaquée doit dès lors être confirmée.</w:t>
      </w:r>
    </w:p>
    <w:p>
      <w:r>
        <w:t>- 11 - c) Pour autant, il demeure loisible à la recourante de déposer une nouvelle demande de prestations relativement à l'incapacité de travail qu'elle allègue présenter depuis le 28 février 2025.</w:t>
      </w:r>
    </w:p>
    <w:p>
      <w:r>
        <w:rPr>
          <w:b/>
        </w:rPr>
        <w:t>E. 6</w:t>
      </w:r>
    </w:p>
    <w:p>
      <w:r>
        <w:t>a) Il s'ensuit que le recours doit être rejeté et la décision litigieuse confirmée. b) La procédure de recours en matière de contestations portant sur des prestations de l'assurance-invalidité devant le tribunal cantonal des assurances est soumise à des frais judiciaires (art. 69 al. 1bis LAI). En l'espèce, les frais judiciaires doivent être arrêtés à 600 fr. et mis à la charge de la recourante, vu le sort de ses conclusions. c) Il n’y a pas lieu d’allouer de dépens à la recourante, qui n’obtient pas gain de cause et a procédé sans mandataire qualifié (art. 61 let. g LPGA ; ATF 127 V 205 consid. 4b). d) La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