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ZD25.012556 vom 11. September 2025</w:t>
      </w:r>
    </w:p>
    <w:p>
      <w:r>
        <w:t>VD Tribunal cantonal, 2025-09-11, FR</w:t>
      </w:r>
    </w:p>
    <w:p>
      <w:r>
        <w:rPr>
          <w:b/>
        </w:rPr>
        <w:t xml:space="preserve">Quelle: </w:t>
      </w:r>
      <w:r>
        <w:t>https://mcp.opencaselaw.ch/entscheid/vd_gerichte_ZD25.012556</w:t>
      </w:r>
    </w:p>
    <w:p>
      <w:r>
        <w:t>FR: VD_GERICHTE ZD25.012556 du 11 septembre 2025</w:t>
      </w:r>
    </w:p>
    <w:p>
      <w:r>
        <w:t>IT: VD_GERICHTE ZD25.012556 del 11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- 7 -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- 8 -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a) En l’espèce, il est incontesté que le recourant dispose d’une capacité de travail nulle dans son activité habituelle de magasinier. En revanche, l’intimé a rejeté la demande de rente déposée par le recourant au motif que ce dernier disposerait d’une pleine capacité de travail dans une activité adaptée à ses limitations fonctionnelles. Le recourant conteste cette appréciation en se référant aux différents rapports médicaux de ses médecins traitants. b) aa) L’intimé s’est essentiellement fondé sur l’avis médical du 1er novembre 2024 du SMR, duquel il ressort que le recourant disposait d’une capacité de travail entière dans une activité adaptée à ses limitations fonctionnelles, à savoir une activité permettant une alternance des positions debout-assise, ne se déroulant pas sur un terrain irrégulier, ne nécessitant pas des positions avec les bras au-dessus des épaules, sans port ou soulèvement de charges de plus de 15 kg de manière régulière, ne nécessitant pas de positions accroupies ou à genoux et ne s’effectuant pas en hauteur (échelles, échafaudages, toits). bb) L’avis du SMR du 1er novembre 2024 est basé sur les principaux rapports médicaux établis par les médecins traitants de l’intéressé, dont celui du Dr G.________ du 4 octobre 2024 qui attestait d’une incapacité de travail totale dans l’activité habituelle du recourant, l’exercice d’une activité adaptée étant toutefois possible, soit une activité n’exigeant pas de tenir une position des bras au-dessus des épaules, de</w:t>
      </w:r>
    </w:p>
    <w:p>
      <w:r>
        <w:t>- 9 - soulever, porter ou tirer des charges de plus de 15 kg de manière régulière, de s’accroupir ou de se mettre à genou, de travailler en position instable notamment sur des échelles, des échafaudages, des escaliers et des toits, et permettant de changer régulièrement de position (assis / debout) et de travailler sur un terrain régulier et à plat. Il en est de même en ce qui concerne la Dre D.________, qui, dans son rapport du 22 décembre 2023, respectivement du 25 juillet 2024, indiquait que la capacité de travail de son patient dans l’activité habituelle était nulle, tout en retenant une pleine capacité de travail dans une activité adaptée. Sur le plan gastroentérologique, on relèvera que le Dr X.________, dans un rapport réceptionné le 21 décembre 2023 par l’intimé, ne faisait état d’aucun diagnostic ayant une incidence sur la capacité de travail, ce qui n’est du reste pas contesté par le recourant. Il en va de même s’agissant du diagnostic d’hypertension artérielle qui n’avait pas d’incidence sur la capacité de travail (cf. rapport du 15 janvier 2024 du Dr J.________). cc) Il y a lieu de constater que les rapports médicaux produits par le recourant à l’appui de son recours ne permettent pas de remettre en cause l’avis du SMR. En effet, le rapport du 3 mars 2025 du Dr F.________ ne fait que confirmer que la capacité de travail du recourant est entière, moyennant la prise en compte de limitations fonctionnelles, à savoir pas de port de charge supérieure à 15 kg, pas de mouvements répétitifs et au-dessus de l’horizontal. Toutefois, le médecin n’explique pas pour quelle raison la capacité de travail dans une activité adaptée débuterait le 6 décembre 2024. Faute de justification, il n’y a pas lieu de s’écarter de l’avis du SMR sur ce point. En outre, le rapport du 9 décembre 2024 établi par Dr G.________ a uniquement relevé que le recourant éprouvait des difficultés à retrouver un emploi tenant compte de ses limitations fonctionnelles. Il ne se prononce ainsi pas expressément sur la capacité de travail du recourant et n’affirme pas que celui-ci ne serait plus en mesure d’exercer une activité adaptée, mais constate seulement l’existence de difficultés à trouver un tel emploi. En conséquence, il apparaît qu’aucun élément au dossier n’est à même de contredire l’avis médical du 1er novembre 2024 du SMR, de sorte qu’il convient d’accorder une pleine valeur probante à celui-ci.</w:t>
      </w:r>
    </w:p>
    <w:p>
      <w:r>
        <w:t>- 10 - c) Au demeurant, le rapport du 27 mai 2025 du Dr K.________ se référant à une arthro-IRM de l’épaule droite réalisée le 15 mai 2025 (cf. demande d’examen radiologique) ne saurait être pris en compte dans le cadre de la présente procédure. Il en va de même s’agissant du rapport du</w:t>
      </w:r>
    </w:p>
    <w:p>
      <w:r>
        <w:rPr>
          <w:b/>
        </w:rPr>
        <w:t>E. 7</w:t>
      </w:r>
    </w:p>
    <w:p>
      <w:r>
        <w:t>Pour le surplus, on relèvera que les difficultés éprouvées par le recourant à retrouver un emploi tenant compte de ses limitations fonctionnelles, telles que mentionnées par le Dr G.________ dans son rapport du 9 décembre 2024, ne sauraient être prises en considération. En effet, les limitations fonctionnelles retenues par le SMR (activité permettant une alternance des positions debout-assise, ne se déroulant pas sur un terrain irrégulier, ne nécessitant pas des positions avec les bras au-dessus des épaules, sans port ou soulèvement de charges de plus de 15 kg de manière régulière, ne nécessitant pas de positions accroupies ou à genoux et ne s’effectuant pas en hauteur [échelles, échafaudages, toits]) ne présentent pas de spécificités telles qu’elles rendraient totalement illusoires l’exercice d’une activité professionnelle. Le marché du travail (sur cette notion : ATF 110 V 273 consid. 4b ; TF 9C_326/2018 du 5 octobre 2018 consid. 6.2) offre en effet un large éventail d’activités légères, dont on doit convenir qu’un certain nombre sont adaptées aux</w:t>
      </w:r>
    </w:p>
    <w:p>
      <w:r>
        <w:t>- 11 - limitations fonctionnelles du recourant et accessibles sans aucune formation particulière. L’intimé a notamment mis en évidence que le recourant serait en mesure de mettre en valeur sa capacité de travail dans le domaine industriel léger (par exemple : montage, contrôle ou surveillance d’un processus de production ; ouvrier à l’établi dans des activités simples ou légères ; ouvrier dans le conditionnement). Notons encore que la notion de marché du travail équilibré au sens des art. 7 al. 1 et 16 LPGA est une notion théorique et abstraite. Elle ne se rapporte pas aux postes de travail réels, mais aux places de travail exigibles au regard de la situation concrète de la personne assurée, lesquelles sont indépendantes des circonstances conjoncturelles (cf. Margit Moser- Szeless, in Dupont/Moser-Szeless [édit.], Loi sur la partie générale des assurances sociales, Commentaire romand, Bâle 2018, n° 21s ad art. 7).</w:t>
      </w:r>
    </w:p>
    <w:p>
      <w:r>
        <w:rPr>
          <w:b/>
        </w:rPr>
        <w:t>E. 8</w:t>
      </w:r>
    </w:p>
    <w:p>
      <w:r>
        <w:t>Une incapacité de travail dans l’activité habituelle ayant été reconnue, il convient de calculer le degré d’invalidité du recourant, afin de savoir si ce dernier peut prétendre à une rente. a) En l’espèce, il appert que le recourant a toujours conservé une capacité de travail entière dans une activité adaptée à son état de santé. L’année déterminante pour la comparaison des revenus est 2024, à savoir l’année de naissance de l’éventuel droit à la rente (cf. ATF 129 V 222), six mois après le dépôt de la demande de prestations (cf. art. 29 al. 1 et 3 LAI). b) Dans la mesure où, d’une part, le revenu sans invalidité ne peut pas être déterminé en fonction de l’activité habituelle exercée avant l’atteinte à la santé, du fait que le recourant émarge à l’aide sociale depuis plusieurs années, et que, d’autre part, ce dernier, n’a jamais repris d’activité lucrative dans une profession adaptée, il sied de procéder à la comparaison des revenus avec et sans invalidité à l’aune des tableaux TA1_skill-level de l’Enquête suisse sur la structure des salaires (ci-après : ESS), publiés tous les deux ans par l’Office fédéral de la statistique (ci- après : OFS ; cf. ATF 126 V 75 ; Margit Moser-Szeless, op. cit., n° 25 et n° 33 ad art. 16). Sur cette base, il y a lieu d’arrêter le revenu sans invalidité</w:t>
      </w:r>
    </w:p>
    <w:p>
      <w:r>
        <w:t>- 12 - du recourant à 68'303 fr 69 correspondant au salaire moyen touché par un homme dans des activités manuelles simples (ESS 2022, Tableau TA1_tirage_skill_level, total hommes, niveau de compétence 1) après prise en compte d’une durée de travail de 41,7 heures dans cette branche économique (cf. OFS, Durée normale du travail dans les entreprises selon la division économique [NOGA 2008], en heures par semaine, T 03.02.03.01.04.01) et après indexation à 2024 (salaire mensuel de 5’305 fr. pour 40 heures x 41,7 heures x 12 mois, indexation de 1,7 % en 2023 et de 1,2 % en 2024 ; cf. tableau T39 « Evolution des salaires nominaux, des prix à la consommation et des salaires réels 2010-2024 »). En ce qui concerne le revenu annuel avec invalidité, celui-ci s’élève à 61'473 fr 32 compte tenu de la déduction forfaitaire de 10 % introduite par la nouvelle teneur de l’art. 26bis al. 3 RAI (règlement du 17 janvier 1961 sur l’assurance-invalidité ; RS 831.201). Il résulte de la comparaison de ces deux revenus un degré d’invalidité de 10 %, lequel n’est pas suffisant pour ouvrir le droit à une rente, faute d’atteindre le seuil de 40 % fixé à l’art. 28 al. 1 let. c LAI. c) Partant, au vu de ce qui précède, force est de constater que c’est à juste titre que l’intimé a nié au recourant le droit à une rente d’invalidité.</w:t>
      </w:r>
    </w:p>
    <w:p>
      <w:r>
        <w:rPr>
          <w:b/>
        </w:rPr>
        <w:t>E. 9</w:t>
      </w:r>
    </w:p>
    <w:p>
      <w:r>
        <w:t>a) En définitive, le recours, mal fondé, doit être rejeté et la décision rendue le 24 février 2025 par l'intimé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Toutefois, dès lors qu’il a obtenu, au titre de l’assistance judiciaire (cf. décision du juge instructeur du 20 mars 2025), l’exonération d’avances et des frais de justice, ces frais sont laissés provisoirement à la charge de l’Etat (art. 122 al. 1 let. b CPC [code fédéral de procédure civile du 19 décembre 2008 ; RS 272], applicable par renvoi de l’art. 18 al. 5 LPA-VD). Le recourant est rendu attentif au fait qu’il devra rembourser les</w:t>
      </w:r>
    </w:p>
    <w:p>
      <w:r>
        <w:t>- 13 - frais provisoirement pris en charge par l’Etat dès qu’il sera en mesure de le faire (art. 122 al. 1 et 123 CPC).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