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ZD25.011682 vom 21. Oktober 2025</w:t>
      </w:r>
    </w:p>
    <w:p>
      <w:r>
        <w:t>VD Tribunal cantonal, 2025-10-21, FR</w:t>
      </w:r>
    </w:p>
    <w:p>
      <w:r>
        <w:rPr>
          <w:b/>
        </w:rPr>
        <w:t xml:space="preserve">Quelle: </w:t>
      </w:r>
      <w:r>
        <w:t>https://mcp.opencaselaw.ch/entscheid/vd_gerichte_ZD25.011682</w:t>
      </w:r>
    </w:p>
    <w:p>
      <w:r>
        <w:t>FR: VD_GERICHTE ZD25.011682 du 21 octobre 2025</w:t>
      </w:r>
    </w:p>
    <w:p>
      <w:r>
        <w:t>IT: VD_GERICHTE ZD25.011682 del 21 ottobre 2025</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4ème éd., 2020, n° 17 et 29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w:t>
      </w:r>
    </w:p>
    <w:p>
      <w:r>
        <w:t>- 22 - question qui n'a jusqu'alors fait l'objet d'aucun éclaircissement, ou lorsqu'il s'agit d'obtenir une clarification, une précision ou un complément quant à l'avis des experts interpellés par l'autorité administrative (ATF 137 V 210 consid. 4.4.1.4 et 4.4.1.5). d) En l’occurrence, il s’impose d’annuler la décision entreprise et de renvoyer la cause à l’intimé, pour instruction complémentaire. Dans ce contexte, il lui incombera d’actualiser les pièces médicales en sollicitant des rapports auprès de l’ensemble des médecins spécialistes assurant le suivi du recourant. Il s’agira ensuite, pour l’intimé, de mettre en œuvre une expertise pluridisciplinaire du recourant, conforme aux exigences de l’art. 44 LPGA. Dite expertise sera destinée à clarifier le tableau clinique présenté par le recourant depuis août 2022, à déterminer si une aggravation durable de son état de santé est ou non survenue et à statuer sur sa capacité résiduelle de travail. Les experts devront également procéder, si besoin, à l’actualisation des restrictions fonctionnelles du recourant. Cette expertise comprendra, à tout le moins, des volets cardiologique, urologique et psychiatrique, ainsi qu’au besoin une évaluation hématologique, ophtalmologique et endocrinologique, en fonction des informations fournies par les spécialistes traitants du recourant, étant ici expressément réservée la faculté d’associer toute autre spécialité médicale jugée opportune. 12. a) En définitive, le recours doit être admis et la décision litigieuse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1bis LAI). Il convient de les fixer à 600 fr. et de les porter à la charge de la partie intimée, vu l’issue du litige. c) Enfin, n’étant pas représenté par un mandataire professionnel, le recourant ne saurait prétendre des dépens (art. 55 al. 1 LPA-VD et art. 61 let. g LPGA).</w:t>
      </w:r>
    </w:p>
    <w:p>
      <w:r>
        <w:t>- 23 -</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