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ZD25.011171 vom 31. März 2026</w:t>
      </w:r>
    </w:p>
    <w:p>
      <w:r>
        <w:t>VD Tribunal cantonal, 2026-03-31, FR</w:t>
      </w:r>
    </w:p>
    <w:p>
      <w:r>
        <w:rPr>
          <w:b/>
        </w:rPr>
        <w:t xml:space="preserve">Quelle: </w:t>
      </w:r>
      <w:r>
        <w:t>https://mcp.opencaselaw.ch/entscheid/vd_gerichte_ZD25.011171</w:t>
      </w:r>
    </w:p>
    <w:p>
      <w:r>
        <w:t>FR: VD_GERICHTE ZD25.011171 du 31 mars 2026</w:t>
      </w:r>
    </w:p>
    <w:p>
      <w:r>
        <w:t>IT: VD_GERICHTE ZD25.011171 del 31 marzo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10J010</w:t>
      </w:r>
    </w:p>
    <w:p>
      <w:r>
        <w:t>- 16 - c)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10J010</w:t>
      </w:r>
    </w:p>
    <w:p>
      <w:r>
        <w:t>- 17 -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w:t>
      </w:r>
    </w:p>
    <w:p>
      <w:r>
        <w:rPr>
          <w:b/>
        </w:rPr>
        <w:t>E. 4.2</w:t>
      </w:r>
    </w:p>
    <w:p>
      <w:r>
        <w:t>et les références citées ; TF 9C_248/2022 du 25 avril 2023 consid 5.3.1). c) Aucun élément au dossier ne vient contredire les constatations unanimes des experts, basées sur les dires de l’assurée lors de l’expertise. Au contraire, le Dr E.________, dans son rapport du 2 août 2023 à l’OAI, confirme que sa patiente passe sa journée à s’occuper de ses enfants et de la tenue du ménage, sous réserve d’une sieste qu’elle effectue en début d’après-midi. Partant, c’est à juste titre que l’intimé a considéré que le degré d’invalidité de la recourante dans sa part ménagère était nul.</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10J010</w:t>
      </w:r>
    </w:p>
    <w:p>
      <w:r>
        <w:t>- 18 -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10J010</w:t>
      </w:r>
    </w:p>
    <w:p>
      <w:r>
        <w:t>- 19 -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En premier lieu, il convient de relever que la recourante n’émet aucun grief à l’encontre du statut d’active à 80 % et de ménagère à 20 % retenu par l’intimé. Celui-ci peut être confirmé, dès lors qu’il a été justifié de manière détaillée et convaincante par l’évaluatrice de l’OAI dans son évaluation économique sur le ménage du 22 octobre 2024 et qu’il ressort également du questionnaire de détermination du statut complété par l’intéressée le 31 décembre 2022.</w:t>
      </w:r>
    </w:p>
    <w:p>
      <w:r>
        <w:rPr>
          <w:b/>
        </w:rPr>
        <w:t>E. 7</w:t>
      </w:r>
    </w:p>
    <w:p>
      <w:r>
        <w:t>Il convient à présent de se prononcer sur le degré d’invalidité de la recourante dans la sphère d’activité lucrative. a) En l’espèce, l’intimé a considéré, se fondant sur l’expertise établie le 7 février 2024 par le P.________, que la recourante était capable de travailler à 100 %, avec une baisse de rendement de 30 %, dans une activité adaptée, à savoir dans une activité à prédominance sédentaire, permettant d’alterner les stations assise et debout mais sans position debout statique ou piétinement prolongé, ni terrain instable, sans station accroupie ou à genoux prolongée, sans usage régulier d’échelle ou d’escabeaux, sans montée ou descente répétée d’escaliers ; il était 10J010</w:t>
      </w:r>
    </w:p>
    <w:p>
      <w:r>
        <w:t>- 20 - également nécessaire que la répartition des horaires soit harmonieuse pour limiter la fatigue chronique, avec possibilité d’adapter les horaires de travail en fonction des crises douloureuses et de tenir compte de la nécessité d’une période quotidienne de repos d’environ deux heures ainsi que de la survenue imprévisible de phases de douleurs aigües, d’éruptions cutanées et de fatigabilité accrue pouvant avoir pour conséquence un arrêt de travail à 100 % pendant une durée indéterminée. La recourante conteste ce point de vue, estimant que l’expertise du P.________ n’est pas probante et qu’il convient de privilégier l’appréciation de son médecin traitant, selon lequel sa capacité de travail s’élèverait tout au plus à 25 %. Il sied ainsi d’examiner la force probante de l’expertise du P.________ sur laquelle s’appuie l’intimé pour rendre sa décision. b) D’un point de vue formel, le rapport d’expertise du 7 février 2024 remplit tous les réquisits jurisprudentiels permettant de lui reconnaître une pleine valeur probante. En effet, les experts ont individuellement rencontré la recourante les 5, 14 et 21 décembre 2023, effectué un bilan radiographique et échographique de ses pieds et chevilles le 21 décembre 2023 auprès d’un Centre d’imagerie et rédigé un rapport détaillé, puis confronté leurs conclusions. Les experts ont ainsi établi une évaluation consensuelle dans laquelle ils ont conjointement évalué l’état de santé, la capacité de travail et les limitations fonctionnelles de la recourante. Chaque expert a procédé à une étude circonstanciée du cas et dressé une anamnèse complète sur les plans personnel, familial, professionnel, social et médical. Les experts ont tenu compte des plaintes de l’intéressée, qu’ils ont soigneusement énumérées, et les ont confrontées avec leurs constatations objectives. Ils se sont encore renseignés sur ses habitudes, sa vie quotidienne, ses loisirs et son emploi du temps. L’expertise a en outre été établie en pleine connaissance des éléments médicaux au dossier, les experts ayant synthétisé les documents médicaux depuis 1983 (cf. expertise du P.________, p. 39 ss). 10J010</w:t>
      </w:r>
    </w:p>
    <w:p>
      <w:r>
        <w:t>- 21 - c) Sur le plan rhumatologique, la Dre Z.________ a posé le diagnostic de maladie de Behçet révélée à la suite d’un séjour au CHUV en 2017, les symptômes ayant débuté en 2016. Elle a décrit les plaintes de la recourante, à savoir que la fatigue était au premier plan, avec la sensation d’être grippée en permanence ; à cela s’ajoutaient de multiples crises avec des lésions d’ecchymoses et d’hématomes des membres inférieurs, une aphtose buccale et génitale avec des poussées imprévisibles, parfois des épisclérites de l’œil droit et la persistance de douleurs neuropathiques des membres inférieurs et une fébricule lors des poussées, dont l’expertisée ne pouvait préciser le rythme et dont elle n’avait pas trouvé de facteur déclenchant évident. Il ressort de l’anamnèse rhumatologique (cf. expertise du P.________, p. 9 à 10) que les douleurs des membres inférieurs, évaluées entre 2 et 6 sur l’EVA (échelle visuelle analogique [évaluation de la douleur]), étaient péjorées par l’effort prolongé. Le périmètre de marche était peu limité, possible sur une à deux heures pour une distance parcourue de plusieurs kilomètres. La station debout statique et le piétinement n’étaient pas limités, mais la recourante avait précisé que si ceux-ci étaient prolongés, elle s’exposait à une recrudescence des douleurs neuropathiques en fin de journée et les jours suivants. La Dre Z.________ a noté que la station assise était indolore et réalisable sur plusieurs heures et que la recourante pouvait monter et descendre les escaliers sans difficulté. Le traitement de Prégabaline débuté au printemps 2023 avait en outre montré un réel bénéfice sur les douleurs et le sommeil, l’intéressée ne décrivant plus de réveil nocturne depuis lors et plus de raideur matinale significative, le sommeil étant davantage réparateur qu’auparavant. Il existait toutefois une asthénie chronique nécessitant une sieste de deux heures quotidiennement depuis 2017. L’experte a relevé que l’expertisée s’occupait seule des tâches familiales quotidiennes pour son foyer, à savoir ses quatre enfants et son mari, sollicitant peu l’aide de son entourage. Elle gérait également seule et sans difficulté les démarches administratives familiales et s’occupait de ses chats et de son chien (cf. expertise du P.________, p. 11). Face à ces éléments, l’experte rhumatologue a estimé que la maladie de Behçet était responsable des limitations fonctionnelles 10J010</w:t>
      </w:r>
    </w:p>
    <w:p>
      <w:r>
        <w:t>- 22 - rhumatologiques suivantes : nécessité d’une activité à prédominance sédentaire permettant d’alterner les positions assise et debout, sans station debout statique ou piétinement prolongés, ni terrain instable ; absence de station accroupie ou à genoux prolongée, d’usage régulier d’échelle ou d’escabeaux, pas de montée/descente répétées des escaliers ; nécessité d’une répartition harmonieuse des horaires de travail pour limiter la fatigue chronique, avec possibilité d’adapter ses horaires de travail en fonction des crises douloureuses. L’experte a également rappelé le caractère fluctuant de la maladie chronique qui justifiait temporairement une incapacité de travail totale sur quelques jours. Elle a évalué la capacité de travail de la recourante à 100 %, avec une perte de rendement de 30 % en raison de la fatigue chronique et de l’importance des douleurs, soit une capacité de travail de 70 %. Sur le plan de la médecine interne générale, l’expert I.________ a posé les diagnostics de malade de Behçet et d’hypertension artérielle. Il a noté que l’hypertension était actuellement traitée, l’assurée souffrant nettement moins de céphalées depuis la prise de son traitement. L’expertisée se plaignait majoritairement d’une fatigue permanente, l’obligeant à effectuer une sieste d’environ deux heures chaque jour. Elle souffrait également de douleurs aux membres inférieurs, qui s’étaient toutefois nettement améliorées grâce au traitement de Prégabaline prescrit depuis le mois de mai 2023 ; ce traitement avait également amélioré son sommeil. Parmi les symptômes handicapants, l’expertisée avait évoqué des épisclérites récidivantes, surtout à l’œil droit, lui provoquant des troubles visuels, l’empêchant de conduire ou par exemple de travailler à l’ordinateur, et ce durant 24 à 72 heures. Elle avait en outre fait état d’aphtose buccale et génitale, de lésions cutanées sous forme de nodules douloureux ainsi que d’hématomes principalement aux membres supérieurs et inférieurs, ces symptômes apparaissant à un rythme assez régulier de deux semaines. L’expertisée rapportait qu’elle pouvait vivre des périodes sans symptômes d’une durée d’environ deux semaines au maximum, la fatigue étant toutefois perpétuelle. L’expert I.________ a relevé que l’assurée effectuait les tâches inhérentes à sa qualité de femme au foyer et mère de quatre enfants encore à la maison. Il a conclu à une capacité de travail de 100 % avec une 10J010</w:t>
      </w:r>
    </w:p>
    <w:p>
      <w:r>
        <w:t>- 23 - diminution de rendement de 30 % en raison de la fatigabilité et de la fatigue permanente nécessitant des périodes de repos quotidiennes Sur le plan neurologique, l’expert W.________ a posé le diagnostic de probable syndrome des jambes sans repos, ou maladie apparentée dans le cadre d’une affection inflammatoire et vasculite de type Behçet avec érythème noueux. Il a indiqué que le syndrome des jambes sans repos répondait favorablement à la prise de Prégabaline instauré en juin 2023. Il a en outre relevé que l’expertisée disposait de ressources positives puisqu’elle assumait l’entier de la prise en charge de sa famille sur le plan logistique dans l’ensemble des tâches qui lui incombaient ; celle-ci présentait néanmoins des limites avec un état de fatigue permanent et la nécessité de faire une sieste non réparatrice. Du point de vue neurologique, le Dr W.________ n’a toutefois retenu aucune limitation, le syndrome des jambes sans repos n’étant plus symptomatique depuis le mois de juin 2023 ; la capacité de travail était donc de 100 % depuis lors. Avant cette date, il pouvait contribuer à aggraver la fatigue ressentie dans le cadre de son affection médicale, de sorte qu’une baisse de rendement de 20 % pouvait être admise entre 2017 – date à laquelle le Dr G.________ avait posé le diagnostic – et mai 2023. Sur le plan gastroentérologique, l’expert X.________ a posé les diagnostics de status hémorroïdaire de stade II avec thrombose en 2023, d’hémangiomes hépatiques en 2023 et de microkystes pancréatiques non classable, sans que ceux-ci n’engendrent de limitations fonctionnelles. La capacité de travail s’élevait, par conséquent, à 100 % depuis toujours. Aux termes de leur évaluation consensuelle, les experts ont en définitive retenu une capacité de travail de 70 %, par baisse de rendement de 30 %, dans une activité adaptée, et ce depuis 2017. d) La recourante reproche aux experts du P.________ de minimiser ses troubles sévères d’ordre somatique liés à sa maladie de Behçet, notamment ses troubles du sommeil majeurs et, par conséquent, son état d’épuisement, ainsi que ses poussées inflammatoires. Elle estime 10J010</w:t>
      </w:r>
    </w:p>
    <w:p>
      <w:r>
        <w:t>- 24 - que l’appréciation de son médecin traitant, plus récente, qui conclut à une incapacité de travail de 75 %, devrait être privilégiée. Contrairement aux affirmations de la recourante, l’expertise du P.________ du 7 février 2024 ne souffre d’aucune contestation sérieuse au regard des éléments du dossier. Elle a pris en considération l’ensemble des atteintes invalidantes ainsi que des symptômes de la recourante, tels qu’ils ressortent des rapports médicaux au dossier. En particulier, le rapport établi le 31 mars 2025 par le médecin traitant n’apporte aucun élément médical objectif nouveau sur le plan somatique. Celui-ci a indiqué que la maladie de Behçet se caractérisait par la présence d’aphtes buccaux et vulvaires, de lésions cutanées purpura‑érythémateuses et de nodules sous‑cutanés, d’arthralgies, de douleurs aux membres inférieurs, d’une épisclérite oculaire plutôt à droite et d’un épuisement se traduisant par une fatigue persistante nécessitant une sieste d’une à deux heures chaque après-midi. Or tous ces éléments ont dûment été pris en compte par les experts du P.________. En évaluant la capacité de travail de sa patiente à 25 % en raison des douleurs aux membres inférieurs et de l’épuisement, le médecin traitant n'a pas démontré une aggravation de l’état de santé de la recourante, postérieure à l’expertise du P.________, et a, en définitive, émis une appréciation différente d’un même état de fait. Celle-ci ne doit cependant pas être privilégiée à l’appréciation étayée et convaincante des quatre experts du P.________, qui ont en particulier relevé que la qualité du sommeil de la recourante et ses douleurs aux membres inférieurs s’étaient grandement améliorées depuis l’instauration d’un traitement par Prégabaline au printemps 2023, ce qui ressort également du rapport du 31 mars 2025 du Dr E.________, selon lequel la recourante « dormait bien ». L’expertisée était, du reste, pleinement fonctionnelle dans la tenue de son ménage – comprenant ses quatre enfants et son mari – pour lequel elle gérait seule l’ensemble des tâches ménagères et administratives (hormis l’entretien du jardin), s’occupant en outre de son chien et de ses chats. Il ressort en effet de la description d’une journée-type émise par chacun des experts que la recourante était active de 7h à environ 21h45 (sous réserve d’une sieste 10J010</w:t>
      </w:r>
    </w:p>
    <w:p>
      <w:r>
        <w:t>- 25 - quotidienne entre 13 et 15 heures), préparant les trois repas quotidiens pour sa famille, effectuant du ménage, des lessives, aidant ses enfants avec leurs devoirs et les amenant à l’école et à leurs activités extrascolaires (cf. expertise du P.________, pp. 13, 21, 28 et 35). On relèvera encore que le Dr E.________ a indiqué que le rapport d’expertise était très détaillé et résumait bien la situation. Il reprochait toutefois aux experts de ne pas tenir suffisamment compte des facteurs subjectifs, tels que la douleur et l’épuisement de l’assurée. Or il s’agit justement de facteurs subjectifs, dont le retentissement sur la capacité fonctionnelle n’est pas aisé à déterminer. S'agissant en particulier de l'allégation de douleurs, la jurisprudence prévoit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(ATF 130 V 352 consid. 2.2.2 ; TF 8C_755/2020 du 19 avril 2020 consid. 4.4). En l'occurrence, les douleurs alléguées par la patiente durant ses crises inflammatoires ont été objectivement prises en compte, puisque les experts ont retenu que l’activité adaptée devait respecter plusieurs limitations fonctionnelles sensées ménager les membres inférieurs de la recourante, tout en reconnaissant des périodes d’incapacité de travail totale de courte durée et survenant de manière irrégulière lors des poussées inflammatoires liées à la maladie de Behçet. Ils ont également tenu compte de la fatigue chronique de l’assurée et, partant, de son besoin d’effectuer une sieste d’une à deux heures par jour. En définitive, l’appréciation des experts du P.________ ressortant de leur évaluation consensuelle selon laquelle une capacité de travail de 100 %, assortie d’une baisse de rendement de 30 % imputable à la fatigue chronique ainsi qu’aux crises inflammatoires (cf. expertise du P.________, p. 5), apparaît tout à fait étayée et convaincante et doit prendre le pas sur l’appréciation moins étayée du Dr E.________, ce d’autant plus qu’il est admis de jurisprudence constante 10J010</w:t>
      </w:r>
    </w:p>
    <w:p>
      <w:r>
        <w:t>- 26 - que le médecin traitant est généralement enclin, en cas de doute, à prendre parti pour son patient en raison de la relation de confiance qui l'unit à ce dernier (cf. consid. 5d supra). e) Dans un autre grief, la recourante déplore qu’aucun expert du P.________ ne dispose d’une spécialisation en allergologie et/ou en immunologie, disciplines qui seraient selon elle nécessaires à l’examen de son cas. Elle n’expose toutefois pas en quoi une telle spécialisation serait indispensable au cas d’espèce. En l’occurrence, l’expertise a été réalisée par quatre spécialistes – en neurologie, en médecine interne générale, en gastroentérologie et en rhumatologie – lesquels ont bel et bien retenu le diagnostic de maladie de Behçet et ont dûment pris en compte les limitations fonctionnelles qui en découlaient ainsi que leurs répercussions sur la capacité de travail. Du reste, le Dr E.________, spécialiste en allergologie et immunologie clinique, soutient que la réduction de la capacité de travail de sa patiente est due aux douleurs aux membres inférieurs et à son état d’épuisement, qui ont dûment été pris en compte par les experts du P.________. Dans ces circonstances, aucun élément ne permet de mettre en doute la pertinence ou la valeur probante de l’expertise. f) La recourante s’est également plainte que l’intimé n’ait pas instruit son dossier sur le plan psychiatrique, alors que son médecin traitant avait posé le diagnostic de trouble dépressif secondaire à la maladie de Behçet, traité par Sertraline, dans son rapport du 3 décembre 2024. Toutefois, en l’absence de tout suivi spécialisé en psychiatrie ou en psychothérapie, un tel diagnostic ne saurait être considéré comme suffisamment étayé ni rendu vraisemblable. En particulier, aucun rapport d’un psychiatre ou d’un psychologue ne figure au dossier, pas plus qu’une documentation clinique détaillée faisant état de symptômes. Dans ces conditions, l’OAI était légitimé, sans violer son devoir d’instruction, à renoncer à procéder à de telles investigations. 10J010</w:t>
      </w:r>
    </w:p>
    <w:p>
      <w:r>
        <w:t>- 27 - g) Compte tenu de l’ensemble des éléments qui précèdent, il sied de retenir que c’est à juste titre que l’intimé s’est fondé sur le rapport d’expertise établi par le P.________ le 7 février 2024 pour retenir que la recourante disposait d’une capacité de travail de 100 %, avec une baisse de rendement de 30 %, dans une activité adaptée à ses limitations fonctionnelles, et ce dès 2017.</w:t>
      </w:r>
    </w:p>
    <w:p>
      <w:r>
        <w:rPr>
          <w:b/>
        </w:rPr>
        <w:t>E. 8</w:t>
      </w:r>
    </w:p>
    <w:p>
      <w:r>
        <w:t>S’agissant du calcul du taux d’invalidité dans la part active, la recourante fait valoir qu’aucun employeur ne serait susceptible de l’engager en raison de la nécessité de se reposer quotidiennement et de ses crises inflammatoires, qui entraînent des périodes d’incapacité de travail totale.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10J010</w:t>
      </w:r>
    </w:p>
    <w:p>
      <w:r>
        <w:t>- 28 - Le moment déterminant pour établir les revenus avec et sans invalidité est celui de la naissance du droit éventuel à une rente d’invalidité (ATF 134 V 322 consid. 4.1 ; 129 V 222 ; TF 9C_766/2023 du 13 février 2024 consid. 5.1). b) Le revenu sans invalidité (art. 16 LPGA) est déterminé en fonction du dernier revenu de l’activité lucrative effectivement réalisé avant la survenance de l’invalidité (art. 26 al. 1, première phrase,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Si l’assuré ne peut commencer ou achever une formation professionnelle en raison de son invalidité, le revenu sans invalidité est déterminé sur la base des valeurs statistiques définies à l’art. 25 al. 3 RAI. En dérogation à l’art. 25 al. 3 RAI, seules des valeurs indépendantes du sexe seront utilisées (art. 26 al. 6 RAI). c) aa)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les assurés visés à l’art. 26 al. 6 RAI des valeurs indépendantes du sexe sont utilisées, en dérogation à l’art. 25 al. 3 RAI (art. 26bis al.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10J010</w:t>
      </w:r>
    </w:p>
    <w:p>
      <w:r>
        <w:t>- 29 - bb) Selon l’art. 26bis al. 3 RAI (en vigueur du 1er janvier 2022 au 31 décembre 2023),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cc) Selon l’art. 26bis al. 3 RAI (entré en vigueur au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10J010</w:t>
      </w:r>
    </w:p>
    <w:p>
      <w:r>
        <w:t>- 30 -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d)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 TF 8C_661/2023 du 21 mai 2024 consid. 5 et les références citées).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10J010</w:t>
      </w:r>
    </w:p>
    <w:p>
      <w:r>
        <w:t>- 31 -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8C_661/2023 précité consid. 5 ; 9C_304/2018 du 5 novembre 2018 consid. 5.1.1 ; 9C_941/2012 du 20 mars 2013 consid. 4.1.1). e) En l’espèce, on ne saurait suivre la recourante lorsqu’elle soutient que les limitations fonctionnelles qu’entraînent son atteinte à la santé (besoin de se reposer une à deux heures en début d’après-midi et incapacités de travail totales temporaires sur quelques jours régulièrement) rendent illusoire toute recherche d’emploi, y compris sur un marché de l’emploi réputé équilibré. La capacité de travail de l’assurée a en effet été fixée médicalement à 70 %, à savoir qu’elle dispose en réalité d’une capacité fonctionnelle totale de travail avec un rendement moyen sur le mois diminué de 30 %, compte tenu de son besoin de se reposer quotidiennement et de ses jours d’absence lors de crises. La capacité de travail tient donc valablement compte de la flexibilité des horaires que requiert l’état de santé de l’intéressée. On doit en outre admettre que le marché du travail réputé équilibré est suffisamment diversifié et qu’il comprend, dans le domaine administratif par exemple, des emplois permettant d’organiser relativement librement son temps de travail sur le mois, pour un engagement à 70 % (cf. notamment TF 8C_661/2023 précité consid. 6.2). Le grief de la recourante doit donc être rejeté. aa) Pour calculer le revenu sans invalidité, force est de constater que la recourante n’a jamais exercé d’activité lucrative et que son atteinte invalidante l’empêche de commencer une formation professionnelle, de sorte qu’il convient de se fonder sur les valeurs statistiques, selon les valeurs indépendantes du sexe (cf. consid. 8b supra). Il est précisé que le moment déterminant pour établir les revenus avec et sans invalidité est l’année 2023, le droit éventuel à la rente d’invalidité ayant pris naissance le 1er mai 2023, six mois après le dépôt de la demande du 20 novembre 2022. 10J010</w:t>
      </w:r>
    </w:p>
    <w:p>
      <w:r>
        <w:t>- 32 - Le salaire de référence pour des personnes exerçant des tâches physiques ou manuelles simples dans le secteur privé (production et services) était, en 2022, de 4’849 fr. par mois, part au treizième salaire comprise (ESS 2022, tableau TA1_skill-level, niveau de compétence 1), soit 61'692 fr. 25 par an compte tenu de la durée hebdomadaire de travail dans les entreprises de 41,7 heures (cf. tableau « Durée normale du travail dans les entreprises selon la division économique », établi par l’OFS) et d’une indexation de 1,7 % à 2023. bb) Quant au revenu d’invalide, il sied de s’en tenir aux mêmes statistiques et de réduire le revenu de 30 % au vu de la baisse de rendement retenue par les experts du P.________. Il n’y a en effet pas lieu de retenir un quelconque abattement supplémentaire. A cet égard, la fatigue et la fatigabilité de la recourante ont été prises en compte dans l’appréciation de la capacité de travail de celle-ci, les experts étant parvenus à la conclusion qu’elles entraînaient une baisse de rendement (cf. ATF 146 V 16 consid. 4.1). S’agissant des autres limitations fonctionnelles – alternance des positions assise et debout, pas de station debout statique ou piétinement prolongé, pas de marche sur terrain instable, pas de position accroupie ou à genoux prolongée, pas de montée/descente répétée d’escaliers – il sied de constater qu’elles ont été prises en compte lors du choix de postes de travail raisonnablement exigibles (domaine industriel léger), dont l’éventail apparaît suffisamment large, et qu’elles ne justifient donc pas un abattement supplémentaire. Il n’y a en outre pas lieu de procéder à un abattement en raison de l’absence de formation ou d’expérience, les activités simples et légères préconisées ne requérant aucune formation, ni aucune expérience préalable (TF 8C_112/2020 du 13 mai 2020 consid. 7.3 ; TF 8C_314/2019 du 10 septembre 2019 consid. 6.2 et les références citées). Le taux d’activité réduit de la recourante ne permet pas non plus d’admettre un abattement automatique, le Tribunal fédéral ayant déjà eu l’occasion de constater que le travail à plein temps n’était pas nécessairement mieux rémunéré que le travail à temps partiel (ATF 126 V 75 consid. 5a/cc p. 79 ; TF 9C_10/2019 du 29 avril 2019 consid. 5.2.1). 10J010</w:t>
      </w:r>
    </w:p>
    <w:p>
      <w:r>
        <w:t>- 33 - Compte tenu de ce qui précède, le revenu d’invalide s’élève à 43'184 fr. 55. cc) La comparaison des revenus sans invalidité et avec invalidité aboutit à un degré d’invalidité pour la part active de 30 %. On relèvera du reste, à toutes fins utiles, qu’en appliquant l’art. 26bis al. 3 RAI dans sa version au 1er janvier 2024 et en procédant à un abattement automatique de 10 % sur le revenu d’invalide, le degré d’invalidité s’élèverait à 37 % dès le 1er janvier 2024.</w:t>
      </w:r>
    </w:p>
    <w:p>
      <w:r>
        <w:rPr>
          <w:b/>
        </w:rPr>
        <w:t>E. 9</w:t>
      </w:r>
    </w:p>
    <w:p>
      <w:r>
        <w:t>A ce stade, il y a lieu d’examiner le degré d’invalidité ressortant à la sphère ménagère, déterminé sur la base de l’évaluation économique sur le ménage réalisée le 22 octobre 2024 au domicile de l’assurée, laquelle se fonde sur les constats opérés par les experts du P.________ dans leur rapport d’expertise pour retenir que les empêchements ménagers de l’assurée sont nuls. a) La recourante conteste les conclusions de l’intimé, alléguant devoir confier certaines tâches à des tiers, comme l’entretien du jardin. Elle relève que son médecin traitant a expressément fait état de limitations dans le cadre de ses activités ménagères par rapport du 2 août 2023. b) En l’occurrence, conformément à ce qu’a souligné l’évaluatrice dans son rapport du 22 octobre 2024, il ressort de chacun des volets de l’expertise du P.________ que l’assurée demeure apte à s’occuper seule de l’ensemble des tâches que comprend sa fonction de mère au foyer de quatre enfants, tant s’agissant de la préparation des repas que du ménage, de la lessive, des courses au supermarché, de l’éducation de ses enfants, de l’entretien de ses animaux domestiques et de l’administratif, en fractionnant et alternant les tâches ménagères pour éviter la station debout statique et le piétinement (cf. expertise du P.________, p. 7). Certes, durant ses crises inflammatoires, l’assurée se voit contrainte de différer l’exécution de certaines tâches. Celles-ci ne sont toutefois pas suffisamment courantes 10J010</w:t>
      </w:r>
    </w:p>
    <w:p>
      <w:r>
        <w:t>- 34 - et se résolvent en quelques jours ; il n’apparaît d’ailleurs pas, à la lecture du dossier, que ces crises aient une réelle incidence sur la tenue du ménage, assurée intégralement et de manière satisfaisante par la recourante. Enfin, s’il est vrai que l’assurée a confié l’entretien de son jardin à son frère, agriculteur et paysagiste (cf. expertise du P.________, p. 11), il faut constater que cette aide aurait raisonnablement pu être exigée de son mari ou de l’un de ses enfants aînés, conformément à la jurisprudence du Tribunal fédéral selon laquelle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141 V 642 consid. 4.3.2 ; ATF 133 V 504 consid.</w:t>
      </w:r>
    </w:p>
    <w:p>
      <w:r>
        <w:rPr>
          <w:b/>
        </w:rPr>
        <w:t>E. 10</w:t>
      </w:r>
    </w:p>
    <w:p>
      <w:r>
        <w:t>En définitive, après pondération, le degré d’invalidité de 24 %, tel que calculé par l’intimé dans son projet de décision du 31 octobre 2024 ([30 % x 0,8] + [0 % x 0.2]) et validé par décision du 10 février 2025, peut être confirmé. Un tel taux, inférieur à 40 %, ne donne pas le droit à une rente d’invalidité. En appliquant le nouvel art. 26bis al. 3 RAI, dans sa teneur en vigueur au 1er janvier 2024, le calcul du taux d’invalidité n’aboutirait pas non plus à la reconnaissance d’un droit à la rente dès le 1er janvier 2024, puisque le degré d’invalidité s’élèverait à 29.6 %, arrondi à 30 % ([37 % x 0.8] + [0 % x 0.2]). 10J010</w:t>
      </w:r>
    </w:p>
    <w:p>
      <w:r>
        <w:t>- 35 -</w:t>
      </w:r>
    </w:p>
    <w:p>
      <w:r>
        <w:rPr>
          <w:b/>
        </w:rPr>
        <w:t>E. 11</w:t>
      </w:r>
    </w:p>
    <w:p>
      <w:r>
        <w:t>Les pièces médicales au dossier permettent à la Cour de céans de statuer, sans qu’il apparaisse nécessaire de mettre en œuvre une nouvelle expertise pluridisciplinaire.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w:t>
      </w:r>
    </w:p>
    <w:p>
      <w:r>
        <w:rPr>
          <w:b/>
        </w:rPr>
        <w:t>E. 12</w:t>
      </w:r>
    </w:p>
    <w:p>
      <w:r>
        <w:t>a) En définitive, le recours, mal fondé, doit être rejeté et la décision contestée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