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ZD25.010122 vom 16. Oktober 2025</w:t>
      </w:r>
    </w:p>
    <w:p>
      <w:r>
        <w:t>VD Tribunal cantonal, 2025-10-16, FR</w:t>
      </w:r>
    </w:p>
    <w:p>
      <w:r>
        <w:rPr>
          <w:b/>
        </w:rPr>
        <w:t xml:space="preserve">Quelle: </w:t>
      </w:r>
      <w:r>
        <w:t>https://mcp.opencaselaw.ch/entscheid/vd_gerichte_ZD25.010122</w:t>
      </w:r>
    </w:p>
    <w:p>
      <w:r>
        <w:t>FR: VD_GERICHTE ZD25.010122 du 16 octobre 2025</w:t>
      </w:r>
    </w:p>
    <w:p>
      <w:r>
        <w:t>IT: VD_GERICHTE ZD25.010122 del 16 ottobre 2025</w:t>
      </w:r>
    </w:p>
    <w:p>
      <w:pPr>
        <w:pStyle w:val="Heading2"/>
      </w:pPr>
      <w:r>
        <w:t>Erwägungen</w:t>
      </w:r>
    </w:p>
    <w:p>
      <w:r>
        <w:rPr>
          <w:b/>
        </w:rPr>
        <w:t>E. 4</w:t>
      </w:r>
    </w:p>
    <w:p>
      <w:r>
        <w:t>a) L’invalidité se définit comme l’incapacité de gain totale ou partielle qui est présumée permanente ou de longue durée et qui résulte</w:t>
      </w:r>
    </w:p>
    <w:p>
      <w:r>
        <w:t>- 24 -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- 25 - références ; TF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w:t>
      </w:r>
    </w:p>
    <w:p>
      <w:r>
        <w:t>- 26 -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9</w:t>
      </w:r>
    </w:p>
    <w:p>
      <w:r>
        <w:t>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En l’occurrence, il est constant que la capacité de travail du recourant dans son activité habituelle de [...] est nulle depuis son accident du mois de mars 2020. L’intimé estime cependant que l’assuré est capable de travailler dans une activité adaptée à ses limitations fonctionnelles à 70 %, se fondant notamment sur l’expertise psychiatrique mise en œuvre auprès du Dr Z.________ ensuite de l’arrêt de renvoi rendu par la Cour de céans le 7 août 2023. Le recourant conteste cette position, estimant, d’une part, que cette expertise n’est pas probante et, d’autre part, que l’ensemble de ses atteintes, tant psychiques que physiques, doivent être prises en compte, ce qui lui ouvrirait le droit à une rente.</w:t>
      </w:r>
    </w:p>
    <w:p>
      <w:r>
        <w:t>- 27 - a) C’est à tort que le recourant prétend que l’examen de l’OAI s’est uniquement fondé sur l’aspect psychiatrique, en omettant de prendre en compte ses atteintes somatiques. On rappellera en effet que, selon l’arrêt de renvoi précité, l’expertise menée le 11 janvier 2021 par le Dr K.________, qui concluait à une pleine capacité de travail dans une activité adaptée aux limitations fonctionnelles physiques du recourant (éviter de marcher en terrain irrégulier, de monter ou descendre à répétition les pentes ou les escaliers, les métiers impliquant d’être accroupi ou à genou, ainsi que le port de charges de plus de quinze kilos), était étayée, convaincante et n’était pas mise en doute par les éléments au dossier, de sorte qu’elle devait être suivie. Seul le volet psychiatrique devait ainsi être investigué selon la Cour de céans, au vu du rapport établi par le Dr T.________ le 20 janvier 2023, afin de déterminer le dies a quo de l’atteinte alléguée au plan psychiatrique, ainsi que ses répercussions éventuelles sur la capacité de travail du recourant, raison pour laquelle l’OAI a repris l’instruction du dossier, avec notamment la mise en œuvre d’une expertise psychiatrique. b) Il s’agit à présent d’examiner la valeur probante de l’expertise du Dr Z.________ du 16 février 2024, complétée le 19 mars 2024. Ce médecin a posé les diagnostics avec répercussion sur la capacité de travail de trouble dépressif récurrent moyen avec syndrome somatique depuis mars 2020 au présent (F32.11) et de dépendance éthylique utilisation continue ou épisodique selon les moments (F10.2), et le diagnostic sans répercussion sur la capacité de travail de traits de la personnalité émotionnellement labile et anxieuse actuellement non décompensé (Z73.1). Il a estimé que l’intéressé était capable de travailler à 70 % depuis mars 2020 dans une activité adaptée au niveau d’acquisition et aux atteintes somatiques, sans conduite automobile. Selon lui, les limitations fonctionnelles psychiques consistaient en des ralentissements psychomoteurs avec fatigue et des troubles de la concentration, ainsi qu’à une dépendance éthylique, responsables de la baisse de rendement de 30 %.</w:t>
      </w:r>
    </w:p>
    <w:p>
      <w:r>
        <w:t>- 28 - A titre liminaire, il convient de retenir que, sur le plan formel, le rapport d’expertise remplit tous les réquisits jurisprudentiels permettant de lui reconnaître une pleine valeur probante. En effet, l’état de santé du recourant a fait l’objet d’un examen circonstancié par l’expert spécialiste ; l’expertise a été établie en pleine connaissance des éléments médicaux au dossier, le Dr Z.________ ayant synthétisé les documents médicaux depuis 2020 (p. 6ss), et se fonde sur un examen clinique complété par un entretien psychologique, des analyses en laboratoires, ainsi que des tests psychologiques complémentaires (GUY, matrices de RAVEN, BECK, MADRS). L’expert a établi une anamnèse détaillée sur les plans systématique, psychiatrique et/ou somatique, familial, socio-professionnel et médical (p. 13ss). Il a en outre dûment rapporté les plaintes de l’expertisé, ainsi que les descriptions subjectives de celui-ci, comprenant la description d’une journée-type et de ses habitudes personnelles. L’expert a discuté les éventuelles informations divergentes ressortant du dossier ainsi que les appréciations spécialisées antérieures disponibles (p. 31ss). Il a en outre examiné les ressources, la gravité des troubles retenus, la personnalité de l’expertisé ainsi que la cohérence (p. 30ss). aa) S’agissant des diagnostics, on relève tout d’abord qu’ils ont été posés par l’expert psychiatre en référence à un système de classification reconnu, soit la Classification statistique internationale des maladies et des problèmes de santé connexes (CIM-10). En ce qui concerne le trouble dépressif récurrent moyen avec syndrome somatique depuis mars 2020 au présent, l’expert Z.________ a examiné les symptômes de l’assuré et a en particulier rapporté ce qui suit : tristesse présente modérément, abaissement stable de l’humeur présente légèrement, diminution de l’intérêt et du plaisir présente modérément, pas de réduction de l’énergie, ni de la concentration et de l’attention, diminution de l’estime de soi et de la confiance en soi présente, absence d’idée de culpabilité et de dévalorisation, attitude morose et pessimiste face à l’avenir présente, idées ou actes auto- agressifs ou suicidaires présents passivement, sans désir de passage à l’acte, etc. En définitive, il a retenu que l’assuré remplissait plus de deux</w:t>
      </w:r>
    </w:p>
    <w:p>
      <w:r>
        <w:t>- 29 - symptômes typiques et plus de trois autres symptômes d’un épisode dépressif moyen. Il a du reste exposé que l’expertisé ne souffrait pas d’un trouble dépressif sévère, puisque ce dernier ne présentait pas de tristesse significative sévère la plupart de la journée, accompagnée d’une anhédonie totale ; il conservait en effet des plaisirs dans le quotidien, sans que sa tristesse et ses angoisses subjectives n’influent sévèrement son quotidien. L’expert a ensuite posé le diagnostic de dépendance éthylique utilisation continue ou épisodique selon les moments sur la base des dires de l’assuré et de ses réponses aux questions DETA, qui avaient permis avec une probabilité de 95 % de confirmer ce diagnostic. L’expert psychiatre a enfin expliqué pourquoi il ne retenait pas de trouble de la personnalité, à savoir que l’expertisé présentait des comportements disharmonieux sans que ceux-ci soient suffisamment nets. Malgré la présence de traits de la personnalité mixte, d’une dépendance éthylique fluctuante et d’une capacité intellectuelle modeste, l’assuré avait pu travailler sans limitation et sans décompensation de la personnalité dans le passé. L’appréciation diagnostique de l’expert est ainsi détaillée, motivée et convaincante. Il convient de retenir que les diagnostics ont été posés dans les règles de l’art. bb) Sous l’angle du degré de gravité fonctionnelle de l’atteinte à la santé, le Dr Z.________ a expliqué que l’intensité des troubles était légère, sans impact significatif sur le quotidien du point de vue psychiatrique avec un impact d’un point de vue somatique et avec des capacités intellectuelles modestes depuis toujours. Il a également relevé à cet égard l’absence de traitement antidépresseur à des taux sanguins efficaces, démontrant une compliance nulle, sans changement récent de ce traitement, sans hospitalisation psychiatrique, avec un suivi psychiatrique mensuel et pas hebdomadaire, tous ces éléments plaidant indirectement contre un trouble incapacitant, contre une décompensation de la personnalité et contre des limitations fonctionnelles significatives</w:t>
      </w:r>
    </w:p>
    <w:p>
      <w:r>
        <w:t>- 30 - dans une activité adaptée. Il a de surcroît noté que, malgré la dépendance éthylique et les traits de la personnalité mixte présents depuis le début de l’âge adulte, l’assuré avait pu gérer son quotidien et travailler sans limitation dans le passé. Par ailleurs, il continuait à gérer son quotidien, en dehors des tâches administratives complexes et des tâches physiques lourdes. En ce qui concernait ses ressources, l’expert a indiqué que l’assuré présentait un isolement social partiel. Il a en outre procédé à l’examen des capacités, des ressources et des difficultés de l’assuré au regard des critères de la MINI CIF 10. Selon lui, les comorbidités psychiatriques n’entraînaient pas de limitations fonctionnelles significatives dans une activité adaptée. Sur le plan de la cohérence, l’expert Z.________ a indiqué que la cohérence au niveau de l’anamnèse et de l’examen clinique et la plausibilité des troubles psychiques était bonne, chez un assuré qui n’exagérait pas volontairement ses activités de la journée-type par exemple. La seule incohérence consistait dans le fait que l’assuré demandait une rente AI à 100 % d’un point de vue psychiatrique, dans un contexte d’absence de limitations fonctionnelles significatives, mais uniquement légères et essentiellement subjectives, en lien avec une tristesse, des angoisses fluctuantes et une fatigue. Les plaintes et les limitations fonctionnelles observées étaient cohérentes, plausibles et concordantes avec l’examen clinique et les tests psychométriques réalisés, sauf une nette exagération à l’échelle de Beck. Sur la base de l’examen détaillé des indicateurs jurisprudentiels, l’expert a conclu à une capacité de travail de 70 % (soit 100 %, avec une baisse de rendement de 30 %) depuis le mois de mars 2020, les limitations fonctionnelles sur le plan psychiatrique consistant en des ralentissements psychomoteurs avec fatigue et des troubles de la concentration, ainsi qu’une dépendance éthylique. L’activité devait être adaptée aux limitations physiques, ainsi qu’à son niveau d’acquisition, et ne devait pas impliquer de conduite automobile. Ces conclusions sont étayées et convaincantes.</w:t>
      </w:r>
    </w:p>
    <w:p>
      <w:r>
        <w:t>- 31 - cc) L’analyse du Dr Z.________ n’est du reste pas sérieusement mise en doute par les éléments au dossier. Le psychiatre traitant pose en effet les mêmes diagnostics psychiques, sous réserve du diagnostic de dysthymie (F34.1 ; cf. rapport du 24 novembre 2023 du Dr R.________), exclu par l’expert au motif qu’il ne pouvait retenir une dysthymie et simultanément un trouble dépressif moyen ou sévère, la dysthymie selon la CIM-10 ayant une intensité inférieure à celle d’un épisode dépressif léger. Il n’amène pour le surplus aucun élément d’aggravation ou permettant de retrouver des limitations objectives supplémentaires dans le fonctionnement de son patient qui jetterait un doute sur les conclusions de l’expert. Son rapport du 8 octobre 2024, qui mentionne une aggravation, se fonde sur une adaptation du traitement thérapeutique médicamenteux et de psychothérapie deux fois par mois, sur une attitude hostile et méfiante envers le monde avec un retrait social et des sentiments de perte d’espoir avec incapacité d’établir et de maintenir des relations personnelles étroites et de confiance ; l’assuré restait triste, fatigué, et souffrait d’insomnies. Or les symptômes précités se manifestaient déjà au moment de l’expertise et ont dûment été pris en considération et discutés par le Dr Z.________ (réseau social restreint, tristesse, vision de l’avenir morose, nombreux réveils nocturnes, etc.). On relèvera du reste qu’au moment de l’expertise, les examens sanguins ont révélé que l’expertisé n’était pas compliant à son traitement médicamenteux, de sorte qu’une adaptation de celui-ci, d’ailleurs préconisée par l’expert, ne permet pas de considérer que l’état de santé psychique du patient se serait dégradé. Le fait que la psychothérapie se soit intensifiée, évoluant d’une psychothérapie mensuelle à bimensuelle, comme au début de son traitement avec le Dr R.________, – outre qu’un traitement hebdomadaire était préconisé par l’expert pour améliorer la symptomatologie – ne permet pas à lui seul de rendre vraisemblable une aggravation durable de l’état de santé psychique. Il y a en définitive lieu de constater que le Dr R.________, qui estime que son patient est totalement incapable de travailler, procède à une appréciation différente d’un même état de fait et que ses rapports, moins bien étayés que l’expertise du Dr Z.________, ne sont pas susceptibles de remettre en cause les conclusions motivées de celui-ci.</w:t>
      </w:r>
    </w:p>
    <w:p>
      <w:r>
        <w:t>- 32 - dd) Compte tenu des éléments qui précèdent, il convient de s’en tenir aux conclusions du rapport d’expertise du Dr Z.________, qui est bien élaboré, repose sur un examen complet du dossier médical, tient compte de l’ensemble des spécificités du cas particulier et comporte des conclusions claires, dûment motivées et exemptes de contradictions. Ce rapport satisfait ainsi aux réquisits jurisprudentiels en matière de valeur probante. c) Sur le plan somatique, le recourant se plaint du fait que son état de santé ne s’est pas amélioré malgré le traitement conservatoire préconisé par le Dr K.________. Il allègue que des limitations fonctionnelles se seraient ajoutées, ce qui remettrait en cause l’expertise menée par le médecin précité, laquelle datait de 2021 et manquait donc d’actualité. Les pièces au dossier ne permettent toutefois pas de retenir ces allégations. Il est à relever tout d’abord que le rapport établi le 2 avril 2025 par le Dr B.________ atteste une incapacité de travail de 80 % dans l’activité habituelle, ce qui n’est pas contesté en l’espèce. Il ne fait pour le surplus valoir aucun élément d’ordre médical qui aurait été ignoré dans le cadre de l’appréciation de la capacité de travail, et qui permettrait de remettre en cause les constats posés par le Dr K.________. Les rapports du</w:t>
      </w:r>
    </w:p>
    <w:p>
      <w:r>
        <w:rPr>
          <w:b/>
        </w:rPr>
        <w:t>E. 14</w:t>
      </w:r>
    </w:p>
    <w:p>
      <w:r>
        <w:t>octobre 2024 de ce même médecin, qui font état d’une capacité de travail inférieure à 20 %, se réfèrent vraisemblablement également à la capacité de travail dans l’activité habituelle, et non dans une activité adaptée. Le suivi introduit auprès du Centre d’antalgie du L.________ avec instauration d’un traitement complexe afin de maîtriser le syndrome douloureux ne permet pas d’attester d’une aggravation de l’état de santé physique, encore moins du fait que l’assuré ne serait pas capable de travailler dans une activité adaptée à ses gonalgies, en l’absence de toute précision à cet égard et de tout rapport du L.________. Du reste, le médecin n’explique pas pourquoi son patient ne serait désormais plus capable de porter des charges de plus de cinq kilos. Quoi qu’il en soit, même si cette limitation fonctionnelle supplémentaire devait être retenue, elle n’empêcherait manifestement pas l’assuré d’exercer un travail simple et</w:t>
      </w:r>
    </w:p>
    <w:p>
      <w:r>
        <w:t>- 33 - répétitif dans le domaine industriel léger. Quant aux photographies produites dans le cadre de l’échange d’écritures relatives à la perte de cheveux et au genou du recourant, dont on ignore au demeurant quand elles ont été prises, elles ne sont pas de nature à établir une incapacité de travail ou une limitation fonctionnelle supplémentaire. Partant, il convient de s’en tenir aux conclusions de l’expertise du 11 janvier 2021 réalisée par le Dr K.________ et de retenir que, sur le plan somatique, l’assuré est capable de travailler à 100 % dans une activité adaptée aux limitations fonctionnelles suivantes : éviter de marcher en terrain irrégulier, de monter ou descendre à répétition les pentes ou les escaliers, les métiers impliquant d’être accroupi ou à genou, ainsi que le port de charges de plus de 15 kilos. d) Dans un autre moyen, le recourant déplore l’absence d’évaluation globale de sa situation, tenant compte tant de ses atteintes psychiatriques que de ses atteintes physiques. La Cour de céans a toutefois estimé, dans son arrêt du 7 août 2023, que la situation sur le plan somatique était suffisamment instruite et qu’il convenait uniquement de compléter l’instruction sur le plan psychiatrique. En l’absence de péjoration des atteintes physiques susceptible d’influer sur la capacité de travail (cf. consid. 5c supra), on ne saurait reprocher à l’OAI de ne pas avoir réexaminé ce volet. L’expert Z.________ a du reste tenu compte des comorbidités de l’assuré dans le cadre de son examen psychiatrique. Pour ces raisons, le grief du recourant doit être rejeté. e) En définitive, c’est à juste titre que l’intimé, sur la base des expertises probantes des Drs K.________ et Z.________, a estimé qu’une capacité de travail de 100 % était exigible dans une activité adaptée aux limitations fonctionnelles du recourant (éviter de marcher en terrain irrégulier, de monter ou descendre à répétition les pentes ou les escaliers, les métiers impliquant d’être accroupi ou à genou, ainsi que le port de charges de plus de 15 kilos), avec une baisse de rendement de 30 % liée à des ralentissements psychomoteurs avec de la fatigue et des troubles de la concentration, ainsi qu’à la dépendance éthylique.</w:t>
      </w:r>
    </w:p>
    <w:p>
      <w:r>
        <w:t>- 34 - 6. Le recourant conteste en outre le calcul de son degré d’invalidité opéré par l’intimé et en particulier celui de son revenu d’invalide, au motif que le revenu médian usuel de la branche retenu de 73'444 fr. 63 aurait dû être réduit de 20 % selon l’art. 26bis al. 3, 2ème phrase, RAI, avant d’être réduit des 70 % prescrits par l’expertise (sic), si bien qu’il s’élevait en réalité à 41'128 fr. 99 et non à 42'729 fr. 46, ce qui ouvrait le droit à la rente. Il estime également qu’un abattement de 25 % devrait être appliqué sur ce revenu en raison de ses limitations fonctionnelles, de son absence de permis de conduire, de sa nationalité étrangère, de son absence totale d’expérience dans un nouveau poste à trouver, ceci dans un contexte de capacités intellectuelles limitées selon l’expertise psychiatrique.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S’agissant de la détermination du revenu sans invalidité, si le revenu effectivement réalisé au sens de l’art. 26 al. 1 RAI est inférieur d’au moins 5 % aux valeurs médianes usuelles dans la branche selon l’ESS</w:t>
      </w:r>
    </w:p>
    <w:p>
      <w:r>
        <w:t>- 35 - au sens de l’art. 25 al. 3 RAI le revenu sans invalidité correspond à 95 % de ces valeurs médianes (art. 26 al. 2 RAI dans sa teneur au 1er janvier 2022). Au sens de l’art. 26 al. 3 RAI, l’alinéa 2 n’est pas applicable lorsque le revenu avec invalidité visé à l’art. 26bis al. 1 RAI est également inférieur d’au moins 5 % aux valeurs médianes usuelles dans la branche selon l’ESS au sens de l’art. 25 al. 3 RAI (let. a), ou lorsque l’assuré exerçait une activité lucrative indépendante (let. b).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w:t>
      </w:r>
    </w:p>
    <w:p>
      <w:r>
        <w:t>- 36 -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Selon l’art. 26bis al. 3 RAI, édicté sur la base de l’art. 28a al. 1 LAI et entré en vigueur au 1er janvier 2024,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b) En l’occurrence, il y a lieu, comme l’a fait l’OAI, de raisonner en deux temps, à savoir pour la période de 2021 (année d’ouverture du droit éventuel à la rente) à décembre 2023, puis pour la période postérieure au 1er janvier 2024, en raison de la modification de l’art. 26bis al. 3 RAI à cette date. En effet, contrairement à ce que soutient le recourant, l’on ne saurait faire application de cet article avant le 1er janvier 2024. L’effet anticipé positif – à savoir l’application du droit futur qui n’est pas encore en vigueur en lieu et place du droit actuel – n’est en principe pas admissible (cf. TF 9C_111/2025 du 29 avril 2025 consid. 5.1 et les références citées). Une déduction de 20 % n’aurait, quoi qu’il en soit, pas lieu d’être appliquée, puisque le recourant ne se trouve pas dans la situation visée à l’art. 26bis al. 3, deuxième phrase, RAI, qui est celle d’une personne assurée ne disposant d’une capacité fonctionnelle ne s’élevant qu’à 50 % ou moins.</w:t>
      </w:r>
    </w:p>
    <w:p>
      <w:r>
        <w:t>- 37 - aa) S’agissant du revenu sans invalidité en 2021, l’OAI s’est légitimement fondé sur les déclarations de l’employeur, qui a indiqué dans un questionnaire du 5 février 2021 que son employé aurait perçu en 2021 un salaire horaire brut de 25 fr. 40. En convertissant celui-ci en un revenu annuel à plein temps (41 heures de travail par semaine), il a déterminé que le revenu sans invalidité s’élevait à 58'891 fr. 17. Quant au revenu avec invalidité en 2021, il doit à juste titre être calculé sur les données statistiques de l’OFSP, étant donné que le recourant n’a pas repris d’activité professionnelle depuis son accident en 2020. Le salaire de référence pour des hommes exerçant des tâches physiques ou manuelles simples dans le secteur privé (production et services) était, en 2020, de 5'261 fr. par mois, part au treizième salaire comprise (ESS 2020, tableau TA1_skill-level, niveau de compétence 1), soit 65'815 fr. 10 par an compte tenu de la durée hebdomadaire de travail dans les entreprises de 41,7 heures (cf. tableau « Durée normale du travail dans les entreprises selon la division économique », établi par l’OFS). Etant donné l’indexation de -0,2 % en 2021 (tableau T39 « Evolution des salaires nominaux, des prix à la consommation et des salaires réels 2010-2023 »), on aboutit à un revenu de 65'683 fr. 50 pour une activité exercée à 100 %. A l’instar de ce qu’avait déterminé l’intimé, il s’ensuit que le salaire d’invalide doit être fixé à 43'679 fr. 50 pour une activité exercée à 70 %, avec un abattement de 5 % lié au taux d’occupation. Il sied de constater que les limitations fonctionnelles physiques de l’assuré liées aux gonalgies, ainsi que ses capacités intellectuelles limitées, du reste déjà présentes avant l’atteinte à la santé invalidante, ont été prises en compte lors du choix des postes de travail raisonnablement exigibles, dont l’éventail apparaît suffisamment large (cf. notamment TF 8C_772/2020 du 9 juillet 2021 consid. 3.3 et les références citées), et qu’elles ne justifient donc pas un abattement supplémentaire. Quant aux limitations fonctionnelles psychiatriques, elles ont déjà été prises en compte dans le cadre d’une baisse de rendement de 30 % par rapport à une activité à 100 % et ne sauraient à nouveau intervenir dans</w:t>
      </w:r>
    </w:p>
    <w:p>
      <w:r>
        <w:t>- 38 - le cadre de l’abattement, sous peine de donner lieu à une double comptabilisation du même aspect. En outre, conformément à la jurisprudence du Tribunal fédéral, des activités simples et répétitives dans le secteur privé pour un niveau de qualification 1 selon l’ESS ne requièrent aucun niveau de connaissance linguistique, aucune formation, ni aucune expérience préalable, de sorte qu’un abattement ne se justifie pas non plus pour ces motifs (TF 8C_112/2020 du 13 mai 2020 consid. 7.3 ; TF 8C_314/2019 du 10 septembre 2019 consid. 6.2 et les références citées). On ne voit enfin pas en quoi le fait que l’assuré ne possède pas le permis de conduire ferait obstacle à sa recherche d’emploi dans un tel domaine. Il en va de même de sa nationalité étrangère. En effet, si le Tribunal fédéral a certes remarqué qu’un abattement peut se justifier du fait que les étrangers peuvent gagner moins que les travailleurs suisses, la jurisprudence a également considéré que les personnes ayant la nationalité d’un État de l’UE – tel le recourant – ne peuvent en principe pas être traitées différemment des travailleurs suisses en termes de salaire (TF 8C_20/2023 du 10 mai 2023 consid. 5.3 ; 8C_610/2017 du 3 avril 2018 consid. 4.4). Partant, la comparaison des revenus avec et sans invalidité met en évidence un degré d’invalidité de 25.83 % arrondi à 26 %, qui n’ouvre pas le droit à une rente de l’assurance-invalidité, puisqu’il est inférieur à 40 % (cf. art. 28 al. 2 LAI). bb) Pour la période postérieure au 1er janvier 2024 et s’agissant du revenu sans invalidité, le raisonnement effectué par l’OAI selon lequel celui-ci doit correspondre à 95 % de la valeur médiane usuelle dans la branche selon les données salariales de l’OFSP, puisque le revenu effectivement réalisé avant la survenance de l’invalidité était inférieur d’au moins 5 % à ces valeurs, peut être confirmé. Il apparaît donc que le salaire de référence pour un homme dans le domaine de la construction était, en 2022, de 5'825 fr. par mois, part au treizième salaire comprise (ESS 2022, TA1 n°43, construction, niveau de compétence 1), soit 73'919 fr. 75 par an compte tenu de la durée hebdomadaire de travail dans les entreprises de ce domaine de 41,1 heures (cf. tableau « Durée normale du</w:t>
      </w:r>
    </w:p>
    <w:p>
      <w:r>
        <w:t>- 39 - travail dans les entreprises selon la division économique », établi par l’OFS) et des indexations de 1,7 % en 2023 et 1,2 % en 2024. Le revenu sans invalidité doit donc être fixé à 70’223 fr. 75 (95 % de 73'919 fr. 75). Quant au revenu avec invalidité, le salaire de référence pour des hommes exerçant des tâches physiques ou manuelles simples dans le secteur privé (production et services) était, en 2022, de 5'305 fr. par mois, part au treizième salaire comprise (ESS 2022, tableau TA1_skill-level, niveau de compétence 1), soit 66'356 fr. 65 par an compte tenu de la durée hebdomadaire de travail dans les entreprises de 41,7 heures (cf. tableau « Durée normale du travail dans les entreprises selon la division économique », établi par l’OFS). Etant donné les indexations de 1,7 % en 2023 et de 1,2 % en 2024, on aboutit à un revenu de 68'303 fr. 70 pour une activité exercée à 100 %. Il s’ensuit que le salaire d’invalide doit être fixé à 43'031 fr. 30 pour une activité exercée à 70 %, avec un abattement automatique de 10 % eu égard à l’art. 26bis al. 3 RAI. La comparaison des revenus avec et sans invalidité met en évidence un degré d’invalidité de 38.72 % arrondi à 39 %, qui n’ouvre toujours pas le droit à une rente de l’assurance-invalidité (cf. art. 28 al. 2 LAI). 7. Dans un dernier moyen, le recourant sollicite de l’intimé une aide à la réinsertion professionnelle.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(art. 16 LAI).</w:t>
      </w:r>
    </w:p>
    <w:p>
      <w:r>
        <w:t>- 40 -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 En sus d’être nécessaire et adéquate, une mesure de réadaptation doit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 cf. également : Michel Valterio, Commentaire de la Loi fédérale sur l’assurance-invalidité [LAI], Genève/Zurich/Bâle 2018, n° 10 ad art. 8 LAI, p. 102 et référence citée). b) Sur ce point, l’office intimé pouvait valablement se fonder sur les constats opérés dans le rapport final établi le 15 avril 2024 par son spécialiste en réinsertion professionnelle et considérer, sur cette base, qu’aucune mesure professionnelle n’était envisageable. En effet, comme l’a observé le spécialiste en réinsertion professionnelle, d’un point de vue subjectif, le recourant ne se trouvait pas dans une dynamique de retour à l’emploi, vu sa vision très fataliste et</w:t>
      </w:r>
    </w:p>
    <w:p>
      <w:r>
        <w:t>- 41 - morose de son avenir professionnel et son souhait de bénéficier d’une aide financière de l’AI sans réadaptation professionnelle ressortant de l’expertise. A cela s’ajoutait que, pour diminuer le préjudice économique et obtenir un revenu avec invalidité sensiblement supérieur à celui déduit de l’ESS, il fallait que le recourant entreprenne une formation donnant accès à un poste de niveau de compétence 2 ou supérieur selon le tableau TA1_skill_level. Or une formation qualifiante, de type CFC, n’était pas envisageable, dès lors que le recourant disposait d’une capacité de travail résiduelle de 70 %, qu’il n’avait pas effectué sa scolarité en Suisse, qu’il était sans formation et qu’il éprouvait de la fatigue. Dans ce contexte, il n’existait donc pas de démarche simple et adéquate qui était de nature à réduire le préjudice économique encouru par le recourant. c) C’est le lieu de rappeler qu’une mesure d’aide au placement telle qu’octroyée le 14 décembre 2022 – à laquelle un terme avait été mis en raison des déclarations du recourant, qui s’estimait incapable de reprendre une activité professionnelle (cf. courrier du 8 mai 2023 de l’OAI) – peut en tout temps être réactivée par demande écrite afin que le recourant reçoive un soutien de l’intimé pour retrouver un emploi adapté à ses limitations fonctionnelles. 8. Les pièces médicales au dossier permettent à la Cour de céans de statuer, sans qu’il apparaisse nécessaire de mettre en œuvre une expertise pluridisciplinaire ou un complément d’expertise psychiatrique. En effet, de telles mesures ne seraient pas de nature à modifier les considérations qui précèdent, les faits pertinents ayant pu être constatés à satisfaction de droit. La requête du recourant en ce sens doit ainsi être rejetée par appréciation anticipée des preuves (ATF 145 I 167 consid. 4.1 ; 144 II 427 consid. 3.1.3 ; 140 I 285 consid. 6.3.1). 9. a) En définitive, le recours, mal fondé, doit être rejeté et la décision querellée confirmée. b) La procédure de recours en matière de contestations portant sur des prestations de l’assurance-invalidité est soumise à des</w:t>
      </w:r>
    </w:p>
    <w:p>
      <w:r>
        <w:t>- 42 - frais de justice (art. 69 al. 1bis LAI). Il convient de les fixer à 600 fr. et de les mettre à la charge du recourant, vu le sort de ses conclusions. Toutefois, dès lors que celui-ci a été mis au bénéfice de l’assistance judiciaire, ces frais sont laissés provisoirement à la charge de l’Etat (art. 122 al. 1 let. b et 123 CPC [code de procédure civile du 19 décembre 2008 ; RS 272], par renvoi de l’art. 18 al. 5 LPA-VD). c) Il n’y a pas lieu d’allouer de dépens au recourant, qui n’obtient pas gain de cause (art. 61 let. g a contrario LPGA). d) Vu l’assistance judiciaire octroyée au recourant, Me Jean- Nicolas Roud peut prétendre une équitable indemnité pour son mandat d’office. Après examen de la liste des opérations déposée le 20 juin 2025, compte tenu de l’importance et de la complexité du litige, il convient d’arrêter l’indemnité à 2’500 fr., débours et TVA compris (art. 2, 3 al. 1 et 3bis RAJ [règlement cantonal du 7 décembre 2010 sur l’assistance judiciaire en matière civile ; BLV 211.02.3]). La liste des opérations ne peut en effet pas être intégralement suivie. L’activité déployée dépasse ce qu’admet la pratique de la Cour dans l’estimation du temps objectivement requis pour le traitement de cas de ce genre eu égard à l’importance et à la complexité du litige. En particulier, le temps consacré à l’étude du dossier, soit 3 heures et 30 minutes, et à la rédaction du recours, soit 10 heures, temps de relecture et de correction compris, est disproportionné au vu de l’objet du litige et de la connaissance préalable du dossier du recourant par le mandataire. Le temps consacré aux courriers électroniques avec l’assuré, postérieurement à la date du recours, s’élevant à plus d’une heure, parait également excessif. e) Le recourant est rendu attentif au fait qu’il devra rembourser les frais et l’indemnité provisoirement pris en charge par l’Etat dès qu’il sera en mesure de le faire (art. 122 al. 1 et 123 CPC [code de procédure civile du 19 décembre 2008 ; RS 272], applicables par renvoi de</w:t>
      </w:r>
    </w:p>
    <w:p>
      <w:r>
        <w:t>- 43 -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