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ZD25.009807 vom 5. März 2026</w:t>
      </w:r>
    </w:p>
    <w:p>
      <w:r>
        <w:t>VD Tribunal cantonal, 2026-03-05, FR</w:t>
      </w:r>
    </w:p>
    <w:p>
      <w:r>
        <w:rPr>
          <w:b/>
        </w:rPr>
        <w:t xml:space="preserve">Quelle: </w:t>
      </w:r>
      <w:r>
        <w:t>https://mcp.opencaselaw.ch/entscheid/vd_gerichte_ZD25.009807</w:t>
      </w:r>
    </w:p>
    <w:p>
      <w:r>
        <w:t>FR: VD_GERICHTE ZD25.009807 du 5 mars 2026</w:t>
      </w:r>
    </w:p>
    <w:p>
      <w:r>
        <w:t>IT: VD_GERICHTE ZD25.009807 del 5 marzo 2026</w:t>
      </w:r>
    </w:p>
    <w:p>
      <w:pPr>
        <w:pStyle w:val="Heading2"/>
      </w:pPr>
      <w:r>
        <w:t>Erwägungen</w:t>
      </w:r>
    </w:p>
    <w:p>
      <w:r>
        <w:rPr>
          <w:b/>
        </w:rPr>
        <w:t>E. 17</w:t>
      </w:r>
    </w:p>
    <w:p>
      <w:r>
        <w:t>février 2023. La naissance du droit éventuel à une rente ne peut intervenir, au plus tôt, que six mois après le dépôt de la demande (cf. art. 29 al. 1 LAI), mais quoi qu’il en soit un an après le début de son incapacité de travail durable (cf. art. 28 al. 1 LAI), à savoir le 1er février 2024. Il doit donc être fait application du droit en vigueur dès le 1er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10J010</w:t>
      </w:r>
    </w:p>
    <w:p>
      <w:r>
        <w:t>- 9 -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obetnir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10J010</w:t>
      </w:r>
    </w:p>
    <w:p>
      <w:r>
        <w:t>- 10 - manière qu’en cas de révision au sens de cette disposition, qui prévoit que, si le taux d’invalidité du bénéficiaire de la rente subit une modification d’au moins 5 points de pourcentage ou atteint 100%, la rente est, d’office ou sur demande, révisée pour l’avenir, à savoir augmentée, réduite, ou supprimée.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10J010</w:t>
      </w:r>
    </w:p>
    <w:p>
      <w:r>
        <w:t>- 11 - contenu (ATF 134 V 231 consid. 5.1 ; 125 V 351 consid. 3a ; TF 8C_510/2020 du 15 avril 2021 consid. 2.4).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10J010</w:t>
      </w:r>
    </w:p>
    <w:p>
      <w:r>
        <w:t>- 12 - 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l’espèce, l’intimé est entré en matière sur la deuxième demande de prestations déposée par la recourante le 17 février 2023, qu’il a instruite en mettant en œuvre une expertise bidisciplinaire, confiée au P.________, en particulier à la Dre F.________ (médecine physique et réadaptation) et au Dr B.________ (psychiatrie). Se fondant sur le rapport d’expertise établi par ces médecins le 3 septembre 2024, ainsi que sur les avis du SMR des 27 septembre 2024 et 5 février 2025, l’intimé a reconnu que l’état de santé de la recourante s’était aggravé à compter du mois de février 2023. Néanmoins, si, en raison de cette aggravation, la recourante avait présenté depuis lors une incapacité de travail totale dans son activité habituelle, elle disposait encore d’une capacité de travail entière dans une activité adaptée à ses limitations fonctionnelles. La recourante critique cette approche, estimant que l’expertise du P.________ n’a pas de valeur probante suffisante, en particulier quant aux diagnostics posés et quant aux limitations fonctionnelles retenues. A ces égards, elle se prévaut essentiellement des rapports de ses médecins traitants qu’elle a produits tant lors de l’instruction qu’en procédure de recours. b) Il ressort du rapport d’expertise du 3 septembre 2024, en particulier de l’évaluation consensuelle réalisée par les experts, que la recourante souffrait principalement de cervicalgies mal systématisées 10J010</w:t>
      </w:r>
    </w:p>
    <w:p>
      <w:r>
        <w:t>- 13 - (M50.3) et de lombosciatalgies (M51.3), sur une cervicarthrose et une spondylarthrose lombaire postérieure. Selon les experts, ces atteintes somatiques, reconnues comme durablement incapacitantes par le SMR, lui occasionnaient les limitations fonctionnelles suivantes : pas de position prolongée de la tête penchée en avant, pas de port répété de charges supérieures à 5 kg, pas de position statique prolongée assise ou debout avec alternance des positions à la guise de l’expertisée, pas de position prolongée ou répétée en porte-à-faux sur le tronc. Les experts n’ont pour le surplus pas posé de diagnostic incapacitant sur le plan psychiatrique, ni n’ont défini de limitations fonctionnelles dans ce registre. c) En l’occurrence, aucun élément ne permet de remettre en cause les conclusions du P.________. aa) Sur le plan somatique, la Dre F.________ a procédé à une analyse circonstanciée des points litigieux, ayant posé ses diagnostics à la suite d’un entretien et d’une anamnèse complète ainsi que sur la base d’éléments d’imagerie, qui avaient objectivé des atteintes arthrosiques, au niveau cervical et lombaire, d’une ampleur incompatible avec son activité professionnelle habituelle. Cela étant, en dépit des diagnostics posés, il était fait état de status articulaires et neurologiques qui n’étaient pas déficitaires, les amplitudes articulaires étant plutôt conservées dans tous les segments périphériques et axiaux. L’experte avait à cet égard mis en exergue une légère exagération de la symptomatologie, les douleurs alléguées apparaissant amplifiées par rapport aux constatations objectives ; cette exagération n’était cependant pas intentionnelle, mais pouvait être mise sur le compte de facteurs contextuels défavorables, tels que son licenciement et l’absence de perspective concrète dans un poste adapté. Pour le reste, l’experte avait décrit une assurée autonome dans ses déplacements et dans les activités de la vie quotidienne, hormis le fait qu’elle avait besoin de l’aide de ses enfants pour les activités ménagères lourdes. Les rapports médicaux produits par la recourante ne sont pas de nature à faire susciter un doute quant au bien-fondé des conclusions de 10J010</w:t>
      </w:r>
    </w:p>
    <w:p>
      <w:r>
        <w:t>- 14 - l’expertise du P.________ et ne permettent pas de retenir une aggravation de l’état de santé de la recourante. En effet, à l’instar du SMR (cf. avis du 5 février 2025), on relèvera que le rapport du 28 octobre 2024 du Dr R.________, qui ne se prononce ni sur la capacité de travail, ni sur les limitations fonctionnelles, n’amène pas d’élément objectif nouveau qui n’aurait pas été pris en compte par l’experte C.________. En particulier, les cervicalgies chroniques décrites par le neurologue entrent dans le cadre des cervicobrachialgies mal systématisées retenues par l’experte précitée. Le status neurologique est décrit comme normal et le status ostéo-articulaire est globalement superposable et sans différence significative par rapport à celui décrit dans le rapport d’expertise somatique. En outre, les limitations fonctionnelles mentionnées par la Dre F.________ prennent déjà en compte les atteintes au niveau cervical et les douleurs en lien avec ces atteintes. A cet égard, le Dr R.________ ne retient pas de limitations fonctionnelles spécifiques qui s’ajouteraient à celles décrites par l’experte C.________. Pour ce qui est du rapport du 11 novembre 2024 du Dr S.________, celui-ci fait état d’un nouveau diagnostic à l’origine d’une incapacité de travail seulement transitoire. Le chirurgien de la main confirme en effet une capacité de l’assurée à reprendre une activité adaptée à 100% dès le 1er novembre 2024, soit deux mois après l’intervention réalisée le 30 septembre 2024, sans baisse de rendement et sans faire mention de limitations fonctionnelles durables. Ce rapport n’est pas donc pas susceptible de jeter le doute sur les conclusions de l’experte F.________, l’atteinte à la main droite n’entraînant ni incapacité de travail, ni limitations fonctionnelles durables. Quant au rapport du 1er décembre 2024 de la Dre D.________, produit par la recourante dans le cadre de la procédure de recours, en lien avec une scintigraphie osseuse réalisée le 28 novembre 2024, il ne permet pas non plus de mettre en doute les conclusions de l’experte du P.________. Comme l’a relevé le SMR (cf. avis du 9 mai 2025), les remaniements dégénératifs principalement au niveau rachidien en faveur d’une polyarthrose rachidienne mentionnées dans le rapport en question sont compatibles avec les diagnostics de cervicarthrose et de spondylarthrose 10J010</w:t>
      </w:r>
    </w:p>
    <w:p>
      <w:r>
        <w:t>- 15 - lombaire postérieure retenues par l’experte F.________ et engendrent des limitations fonctionnelles qui correspondent à celles décrites par l’experte précitée. Il convient ainsi de reconnaître une pleine valeur probante au volet somatique du rapport d’expertise du P.________. bb) Sur le plan psychiatrique, l’analyse opérée par le Dr B.________ s’avère tout aussi convaincante. Cet expert a ainsi exposé de manière précise les raisons pour lesquelles il n’y avait pas lieu de retenir l’existence chez l’expertisée d’un diagnostic durablement incapacitant sur le plan psychiatrique, mais tout au plus une dysthymie (F34.1), qui n’avait pas de répercussions sur sa capacité de travail, laquelle demeurait entière sous l’angle psychiatrique. En effet, depuis plusieurs années, l’assurée présentait un pessimisme, une humeur triste et une baisse de l’élan vital avec des idées suicidaires passagères mais l’expert psychiatre a considéré qu’il n’y avait pas assez d’éléments pour retenir un épisode dépressif. Il ne retrouvait notamment pas de ralentissement psychomoteur, ni de troubles de la mémoriation et les troubles du sommeil étaient gérés grâce à l’hypnose. En outre, l’évaluation des ressources selon la mini-CIF APP montrait que celles-ci étaient préservées. De même, l’expert psychiatre a émis des critiques à l’égard des diagnostics retenus par la Dre J.________, expliquant également les raisons pour lesquelles un trouble somatoforme douloureux et un épisode dépressif récurrent devaient être écartés. En particulier, s’agissant du trouble somatoforme douloureux, l’expert B.________ a relevé que l’assurée ne présentait pas de douleurs morales majeures en raison des douleurs, qu’il n’y avait pas de sollicitation accrue de l’entourage, que les douleurs avaient débuté avant la symptomatologie dépressive et qu’il n’y avait en outre pas eu de manifestations douloureuses très intenses durant l’entretien. Pour ce qui était du trouble dépressif récurrent, l’expert n’a pas retenu d’antécédents de dépression, ce qui excluait un tel diagnostic. Il a encore écarté, en motivant son propos, les diagnostics de modification durable de la personnalité, d’état de stress post- traumatique, d’anxiété généralisée, de trouble obsessionnel compulsif, d’addiction, de trouble de la personnalité paranoïaque, histrionique, 10J010</w:t>
      </w:r>
    </w:p>
    <w:p>
      <w:r>
        <w:t>- 16 - évitante, dépendante, anankastique ou émotionnellement labile. Les conclusions du Dr B.________ rejoignent en outre celles du Dr M.________, lequel avait fonctionné comme expert en octobre 2023, mandaté par l’assureur perte de gain. Celui-ci avait en particulier expliqué de manière très détaillée pour quelles raisons il ne retenait aucun diagnostic incapacitant dans le registre psychiatrique et pour quels motifs il écartait les diagnostics posés par les médecins traitants. Tout comme la Dre F.________, le Dr B.________ a fait état d’une légère exagération de la symptomatologie chez la recourante, laquelle demeurait par ailleurs autonome pour ses activités quotidiennes. Le rapport du 17 novembre 2024 de la Dre J.________ n’est pas propre à jeter le doute sur l’appréciation de l’expert B.________. En effet, la psychiatre traitante pose les diagnostics d’épisode dépressif sévère sans symptômes psychotiques (F32.2), de syndrome douloureux somatoforme persistant (F45.4), ainsi que de trouble anxieux, sans précision (F41.9). Ces diagnostics ont déjà été retenus avant le rapport d’expertise du P.________ et la Dre J.________ n’amène aucun élément nouveau dont les experts n’auraient pas tenu compte ou qu’ils auraient ignoré. En particulier, il y a lieu de constater, avec le SMR (cf. avis du 5 février 2025), que la médecin précitée n’étaye pas les diagnostics posés ni ses conclusions et ne précise pas en quoi son analyse diffère de l’interprétation des deux experts psychiatres, qui ont justifié de manière détaillée leurs appréciations. Elle se limite à affirmer qu’elle n’est pas d’accord avec le diagnostic de dysthymie retenu par l’expert B.________ sans en indiquer les raisons. En tant que la recourante se plaint que l’expert psychiatre ne se soit pas prononcé sur l’impact des troubles anxieux et dépressifs, des douleurs et de la fatigue dans un contexte professionnel, mais uniquement eu égard à ses activités de la vie quotidienne, il faut tenir compte du fait qu’à la date de l’expertise, la recourante avait cessé tout activité professionnelle, l’expert ayant à cet égard mis en lumière le fait que la dysthymie diagnostiquée était à mettre en lien notamment avec le contexte psycho-social (licenciement), qu’elle avait mal vécu. Pour le reste, l’expert a fait état des ressources dont la recourante disposait, non seulement dans 10J010</w:t>
      </w:r>
    </w:p>
    <w:p>
      <w:r>
        <w:t>- 17 - le cadre de la vie quotidienne, mais également sur le plan professionnel (capacité de planifier et structurer les tâches, de s’adapter aux règles et routines, de respecter la hiérarchie et les procédures, d’exprimer son point de vue, de travailler avec les autres, de prendre soin de soi). On relèvera au demeurant que, pour sa part, le Dr M.________ avait retracé de manière plus précise les difficultés que la recourante avait rencontrées dans le cadre professionnel (cf. rapport d’expertise psychiatrique du 10 octobre 2023, pp. 9 à 11). Il en a, pour autant, tiré les mêmes conclusions quant à l’absence de diagnostic incapacitant. c) Partant, compte tenu de ce qui précède, il convient de reconnaître une pleine valeur probante au rapport d’expertise du 3 septembre 2024 du centre d’expertises P.________, sous réserve de la date de l’inexigibilité de l’activité habituelle exercée par la recourante, qui remonte à février 2023 (cf. avis SMR du 27 septembre 2024) et non à 2019. 7. Cela étant précisé, il convient de déterminer le degré d’invalidité que la recourante présente. a/aa)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(OFS). bb)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10J010</w:t>
      </w:r>
    </w:p>
    <w:p>
      <w:r>
        <w:t>- 18 - raisonnablement exigible (ATF 143 V 295 consid. 2.2 et 129 V 472 consid. 4.2.1 ; Margit Moser-Szeless, in Dupont/Moser-Szeless [édit.], Loi sur la partie générale des assurances sociales, Commentaire romand, Bâle 2025, nos 25 et 33 ad art. 16).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Selon l’art. 26bis al. 3 RAI dans sa teneur en vigueur dès le 1er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b) S’agissant du revenu sans invalidité, l’intimé l’a arrêté à 69'451 fr. 20, sur la base des indications fournies le 25 juillet 2023 par T.________ SA, employeur de la recourante, chez lequel elle exerçait, à 50% depuis août 2021, son activité d’employée de production en boulangerie industrielle et après indexation de 0,8%. Or l’indexation des salaires réels pour les femmes correspond à 1,5% en 2024 (cf. tableau T39 « Evolution des salaires nominaux, des prix à la consommation et des salaires réels 10J010</w:t>
      </w:r>
    </w:p>
    <w:p>
      <w:r>
        <w:t>- 19 - 2010-2024 »). Le revenu sans invalidité doit ainsi être fixé à 69'933 fr. 50 (salaire à 50% de 34'450 fr. x 2 [100%], indexation de 1,5%). c/aa) En ce qui concerne le revenu avec invalidité, l’intimé a estimé que la recourante était en mesure d’exercer un travail simple et répétitif dans le domaine industriel léger, par exemple dans le montage, le contrôle ou la surveillance d’un processus de production, comme ouvrière à l’établi dans des activités simples et légères, comme ouvrière dans le conditionnement, comme aide-administrative (réception, scannage et autres), s’agissant d’activités adaptées à ses limitations fonctionnelles. bb) Se plaignant d’arbitraire, la recourante objecte que les activités énumérées par l’intimé correspondent aux caractéristiques du poste de collaboratrice de production dans une boulangerie industrielle. Or l’intimé avait précisément retenu que cette activité n’était plus exigible. La recourante ne saurait être suivie, son ancien poste ne pouvant pas être assimilé à un travail dans le domaine industriel dit « léger ». On relèvera en effet que, selon le descriptif de l’activité établi par T.________ SA (cf. questionnaire pour l’employeur complété le 25 juillet 2023), la recourante était chargée de travaux substantiels de manutention (mise en caisse, palettisation, mise sur chars de plaque de cuisson, déplacement de ceux-ci), à raison de 34 à 66% de son temps (soit 3 à 5 heures par jour). Elle devait dans ce contexte marcher et rester debout, ainsi que régulièrement soulever ou porter des charges jusqu’à 10 kg. A l’évidence, il existe sur le marché du travail des activités adaptées, plus légères et moins exigeantes physiquement, qui permettent à la recourante de respecter les limitations fonctionnelles définies par l’intimé. cc) L’intimé a fixé le revenu avec invalidité à 49'951 fr. 19, en tenant compte d’une indexation de 0,8% pour 2023 et 2024. Or l’indexation se monte à 1,8% en 2023 et à 2,6% en 2024 (cf. tableau T39 « Evolution des salaires nominaux, des prix à la consommation et des salaires réels 10J010</w:t>
      </w:r>
    </w:p>
    <w:p>
      <w:r>
        <w:t>- 20 - 2010-2024 »). Il convient donc d’arrêter le revenu d’invalide à 51'354 fr. 46, correspondant au salaire moyen perçu par une femme exerçant une activité relevant du niveau de compétence 1 (cf. ESS 2022, tableau TA1, total femmes, niveau de compétences 1), après prise en compte d’une durée de travail de 41,7 heures (cf. OFS, Durée normale de travail dans les entreprises selon la division économique [NOGA 2008], en heures par semaine) et après indexation à 2024 et prise en compte de la déduction de 10% prévue par l’art. 26bis al. 3 RAI (salaire mensuel de 4'367 fr. pour 40 heures x 41.7 heures x 12 mois, indexation de 1,8% en 2023 et 2,6% en 2024). Après comparaison du revenu sans invalidité (69'933 fr. 50) avec le revenu d’invalide (51'354 fr. 46), il résulte un taux d’invalidité de 27%, inférieur au seuil de 40% ouvrant le droit à une rente d’invalidité (art. 28 al. 1 LAI). 8. Il reste encore à déterminer si la recourante peut bénéficier d’une mesure de réadaptation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10J010</w:t>
      </w:r>
    </w:p>
    <w:p>
      <w:r>
        <w:t>- 21 -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réf. cit.). b) En l’occurrence, la recourante ne conteste pas le refus de l’intimé de lui octroyer des mesures de réadaptation d’ordre professionnel, ni les conclusions de son service de réadaptation aux termes desquelles il n’existe, dans la présente situation (âge, parcours professionnel, absence de formation), aucune mesure de réadaptation simple et adéquate susceptible de réduire le préjudice (cf. rapport final du 4 octobre 2024). Il n’y a en l’occurrence pas matière à s’écarter de cette approche qui doit ainsi être confirmée. 9. a) En définitive, le recours, mal fondé, doit être rejeté et la décision rendue le 5 février 2025 par l'intimé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Toutefois, celle-ci étant au bénéfice de l’assistance judiciaire limitée aux frais de justice (cf. décision du juge instructeur du 5 janvier 2025), les frais fixés ci-avant sont provisoirement assumés par l’Etat. La recourante est cependant rendue attentive au fait qu’elle devra en rembourser le montant dès qu’elle sera en mesure de le faire (art. 122 al. 1 et 123 CPC [code fédéral de procédure civile du 19 décembre 2008 ; RS 272], applicables par renvoi 10J010</w:t>
      </w:r>
    </w:p>
    <w:p>
      <w:r>
        <w:t>- 22 - de l’art. 18 al. 5 LPA-VD). Les modalités de ce remboursement sont fixées par la Direction du recouvrement de la direction générale des affaires institutionnelles et des communes (anciennement : Service juridique et législatif ; art. 5 RAJ [règlement cantonal vaudois du 7 décembre 2010 sur l’assistance judiciaire en matière civile ; BLV 211.02.3]). c) Il n’y a pas lieu d’allouer de dépens à la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