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ZD25.009636 vom 13. Mai 2026</w:t>
      </w:r>
    </w:p>
    <w:p>
      <w:r>
        <w:t>VD Tribunal cantonal, 2026-05-13, FR</w:t>
      </w:r>
    </w:p>
    <w:p>
      <w:r>
        <w:rPr>
          <w:b/>
        </w:rPr>
        <w:t xml:space="preserve">Quelle: </w:t>
      </w:r>
      <w:r>
        <w:t>https://mcp.opencaselaw.ch/entscheid/vd_gerichte_ZD25.009636</w:t>
      </w:r>
    </w:p>
    <w:p>
      <w:r>
        <w:t>FR: VD_GERICHTE ZD25.009636 du 13 mai 2026</w:t>
      </w:r>
    </w:p>
    <w:p>
      <w:r>
        <w:t>IT: VD_GERICHTE ZD25.009636 del 13 maggio 2026</w:t>
      </w:r>
    </w:p>
    <w:p>
      <w:pPr>
        <w:pStyle w:val="Heading2"/>
      </w:pPr>
      <w:r>
        <w:t>Erwägungen</w:t>
      </w:r>
    </w:p>
    <w:p>
      <w:r>
        <w:rPr>
          <w:b/>
        </w:rPr>
        <w:t>E. 3</w:t>
      </w:r>
    </w:p>
    <w:p>
      <w:r>
        <w:t>Le litige porte sur le droit du recourant à des prestations de l’assurance-invalidité à la suite de sa nouvelle demande du 2 décembre 2021. Il s’agit plus particulièrement de déterminer si, par analogie avec l’art. 17 LPGA, l’intimé était en droit de nier une péjoration de l’état de santé du recourant depuis la décision de refus de prestations du 18 mars 2014 de l’OAI-FR, confirmée par l’arrêt du 8 mars 2016 de la Ire Cour des assurances sociales du Tribunal cantonal fribourgeois.</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10J010</w:t>
      </w:r>
    </w:p>
    <w:p>
      <w:r>
        <w:t>- 16 -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d) Tout changement important des circonstances propres à influencer le degré d’invalidité, et donc le droit à la rente, peut motiver une révision ; la rente peut être révisée non seulement en cas de modification 10J010</w:t>
      </w:r>
    </w:p>
    <w:p>
      <w:r>
        <w:t>- 17 -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141 V 281 consid. 5.2.1 ;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10J010</w:t>
      </w:r>
    </w:p>
    <w:p>
      <w:r>
        <w:t>- 18 -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citées ; TF 8C_91/2023 du 28 septembre 2023 consid. 4.3 et les références citées).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10J010</w:t>
      </w:r>
    </w:p>
    <w:p>
      <w:r>
        <w:t>- 19 -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135 V 465 consid. 4.5 et 4.6 et les références ; TF 8C_757/2023 du 20 décembre 2024 consid. 7 ; TF 8C_220/2024 du 4 octobre 2024 consid. 3.2).</w:t>
      </w:r>
    </w:p>
    <w:p>
      <w:r>
        <w:rPr>
          <w:b/>
        </w:rPr>
        <w:t>E. 7</w:t>
      </w:r>
    </w:p>
    <w:p>
      <w:r>
        <w:t>a) En l'espèce, le recourant a déposé une seconde demande de prestations le 2 décembre 2021, en faisant valoir une aggravation de son état de santé sur le plan psychiatrique. L'OAI étant entré en matière sur cette nouvelle demande, il convient d'examiner si, entre la décision de refus de prestations du 18 mars 2014, confirmée par arrêt du Tribunal cantonal de Fribourg du 8 mars 2016, et la décision litigieuse du 29 janvier 2025, l'état de santé du recourant s'est dégradé de façon à influencer son droit à des prestations de l'assurance-invalidité. b) Sur le plan médical, la décision du 18 mars 2014 était essentiellement fondée sur le rapport d'expertise du 13 août 2013 du Dr B.________, aux termes duquel l'expert avait retenu les diagnostics non incapacitants de probables troubles mentaux et troubles du comportement liés à l'utilisation d'alcool, utilisation continue (F10.25) et de personnalité émotionnellement labile de type borderline (F60.31). Il avait conclu à une pleine capacité de travail dans l'activité habituelle avec, comme limitations fonctionnelles du point de vue psychiatrique, de la nervosité, de l'irritabilité et des difficultés à supporter les frustrations. Selon l’expert, si les traits de la personnalité étaient certes de nature à expliquer les difficultés relationnelles rencontrées par le recourant (irritabilité, nervosité, impulsivité), ils n’engendraient toutefois pas une incapacité de travail, le recourant n’ayant jamais été empêché de mettre à profit sa capacité de gain, même s’il avait souvent changé de métier. 10J010</w:t>
      </w:r>
    </w:p>
    <w:p>
      <w:r>
        <w:t>- 20 - Les juges fribourgeois avaient, dans leur arrêt du 8 mars 2016, écarté l'existence chez le recourant d'une atteinte à la santé durablement incapacitante. Pour eux, la dépendance à l’alcool, cumulée à des troubles caractériels (ou d’une personnalité borderline), tous identifiés par l’expert, évoquait bien plutôt un contexte de précarité sociale, vis-à-vis duquel la responsabilité de l’assurance-invalidité n’était pas engagée. c) Dans le cadre de l’instruction de la seconde demande de prestations du 2 décembre 2021, le Dr F.________ a, dans des rapports des</w:t>
      </w:r>
    </w:p>
    <w:p>
      <w:r>
        <w:rPr>
          <w:b/>
        </w:rPr>
        <w:t>E. 10</w:t>
      </w:r>
    </w:p>
    <w:p>
      <w:r>
        <w:t>janvier et 23 juin 2022, posé les diagnostics, avec impact sur la capacité de travail, de schizophrénie borderline (F21) et de dépression récurrente, épisode actuel moyen (F33.11), ainsi que le diagnostic, sans effet sur la capacité de travail, d’utilisation nocive pour la santé de l’alcool (F10.1). Au niveau des limitations fonctionnelles, il a observé une instabilité émotionnelle, avec préjudice dans les relations interpersonnelles, une hypersensibilité au stress et à la contrariété, de légères bizarreries du comportement, une récurrence imprévisible des épisodes dépressifs, des difficultés de planification et d’organisation, ainsi que de très faibles ressources adaptatives. Ce médecin a précisé que l’instabilité du recourant l’empêchait de s’engager dans des contrats de travail à long terme, même s’il avait pu travailler de façon occasionnelle pendant de courtes durées. Ainsi, le pronostic était plutôt mauvais. Il a enfin mentionné une évolution néfaste du recourant, celui-ci continuant à accumuler des périodes de faible activité professionnelle avec d'autres de ruptures de plus en plus douloureuses et incapacitantes. Il était toujours seul, vivait en des conditions sociales presque à la marge de la société, n'avait aucun réseau de soutien, les épisodes d'anxiété et de décompensation dépressive étant de plus en plus marqués. Après avoir reçu des informations de L.________ SA et d’H.________, selon lesquelles le recourant avait travaillé à 50 % du 31 août au 24 décembre 2020 et du 1er juin au 31 décembre 2021, le Dr F.________ a été réinterrogé et a indiqué, par rapport du 15 novembre 2022, que la capacité de travail du recourant était nulle dans tous les types d’activité 10J010</w:t>
      </w:r>
    </w:p>
    <w:p>
      <w:r>
        <w:t>- 21 - depuis 2020. Faisant suite à un avis du SMR du 29 novembre 2022, un expertise monodisciplinaire psychiatrique a été mise en œuvre auprès du Dr BC.________, qui a rendu son rapport le 11 octobre 2023, complété le 11 mars 2024. d) aa) D'emblée, il convient de relever que, d'un point de vue formel, l'expertise du 11 octobre 2023 et son complément du 11 mars 2024, satisfont aux exigences jurisprudentielles (cf. supra consid. 6b). Etablis en pleine connaissance du dossier, ils reposent sur un entretien approfondi entre le recourant et l'expert, qui a dressé une anamnèse complète et qui a listé ses constatations. L'expert a également tenu compte des plaintes du recourant et des informations fournies par des tiers, notamment le Dr F.________, L.________ et H.________. L'expert a finalement évalué la cohérence et la plausibilité, ainsi que les capacités, ressources et difficultés du recourant. bb) D'un point de vue matériel, sur le plan médical, l’expert BC.________ a retenu l’existence de diagnostics incapacitants sous la forme d’une perturbation de l’activité et de l’attention et de l’attention (trouble déficitaire de l’attention avec hyperactivité) (F90.0), de troubles mixtes de la personnalité (traits borderline, traits schizotypiques) (F61), d’anxiété généralisée (F41.2) et de trouble dépressif récurrent, épisode actuel léger (F33.0). Il a attesté une capacité de travail limitée à « 20-30% » dans l’activité habituelle (formateur d’adultes), et à « 30-50% » dans une activité adaptée aux limitations fonctionnelles. Il a précisé que les métiers adaptés à rechercher étaient ceux où il y avait des interventions courtes, où les activités étaient rapidement alternées, où l’on rencontrait de façon fréquente des situations et des gens nouveaux, où il y avait la réalisation d’actions concrètes courtes avec un sentiment d’agir, des métiers à l’extérieur ou avec une dépense physique, ainsi que des métiers manuels procurant des sensations physiques et créatrices avec un haut niveau d’autonomie (cf. p. 19 du rapport d’expertise du 11 octobre 2023). Dans son complément du 11 mars 2024, l’expert a expliqué que le recourant ne s’était jamais stabilisé dans un poste de travail, ceci en lien avec la conjonction des pathologies comorbides dont il souffrait, à savoir le trouble 10J010</w:t>
      </w:r>
    </w:p>
    <w:p>
      <w:r>
        <w:t>- 22 - déficitaire de l’attention avec hyperactivité, les troubles mixtes de la personnalité (traits borderline et schizotypique) et le trouble dépressif récurrent d’intensité variable. L’intéressé avait dû déployer des mécanismes adaptatifs pour maintenir son emploi jusqu’à atteindre ses limites. L’expert a également indiqué que le recourant présentait une faible capacité à gérer le stress, une mauvaise gestion des émotions et de la frustration, un vécu persécutoire à la moindre contrariété, de la méfiance, de l’impulsivité pouvant impacter la relation à l’autorité, de la difficulté de concentration et attention soutenue, des difficultés d’organisation, des interactions sociales conflictuelles, un repli social, de l’anhédonie et de la fatigabilité. e) aa) L’OAI a toutefois retenu, en se basant sur un avis du SMR des 26 mars et 2 octobre 2024, selon lesquels les conclusions du Dr BC.________ étaient en contradiction avec celles du Dr B.________, que l’expertise de 2023 n’était qu’une évaluation différente de la situation médicale déjà présente lors de la première demande de prestations. Il a ainsi considéré qu’il n’y avait aucun élément permettant de retenir une aggravation durable de l’état de santé du recourant, qui ne remplissait ainsi pas les conditions pour l’octroi de prestations de l’assurance-invalidité. bb) L’approche du SMR, qui s’écarte principalement de l’expertise du Dr BC.________ au motif que le recourant a pu travailler à 100 % pendant une année en 2020-2021 (cf. avis SMR du 26 mars 2024), ne saurait être suivie. Outre le fait qu’un tel constat paraisse plutôt léger pour écarter les conclusions de l’expertise, il n’est en plus pas correct. En effet, en analysant l’extrait du compte individuel du recourant, on constate que le recourant a non seulement changé régulièrement d’employeur, mais qu’il n’a surtout travaillé de 2012 à 2015 que pendant huit mois, entre 2016 et 2018 pendant une année et demie et seulement à temps partiel en 2019. A cet égard, on relèvera qu’on est très loin de l’activité professionnelle continue retenue en 2013 par le Dr B.________ pour justifier le fait que les atteintes psychiques n’étaient pas invalidantes. Pour 2020 et 2021, contrairement à ce qu’a retenu le SMR dans son avis du 26 mars 2024, le recourant n’a pas travaillé une année entière à 100 % à la pleine satisfaction 10J010</w:t>
      </w:r>
    </w:p>
    <w:p>
      <w:r>
        <w:t>- 23 - de ses employeurs. Il a en réalité travaillé à 50 % du 1er septembre au 21 décembre 2020, soit quatre mois à temps partiel en 2020, et à 100 % du 1er juin au 23 décembre 2021, soit presque sept mois. Il faut noter ici que le recourant a été en incapacité de travail totale du 18 au 23 octobre 2021 et du 10 au 19 décembre 2021 (cf. rapport employeur des 29 août et 1er septembre 2022). Ces activités professionnelles se sont par ailleurs déroulées dans des conditions particulières dues au COVID-19, les cours auprès de L.________ SA ayant été dispensés en présentiel jusqu’au 2 novembre 2020, puis remplacés par des cours en ligne sur ZOOM (cf. certificat de travail du 22 décembre 2020). Ces conditions spéciales ont permis au recourant de maintenir ces emplois sur une courte durée, notamment grâce à la courte durée des mesures, les aménagements du cadre entre le présentiel et la visio-conférence, la possibilité de passer de la position assise et sortir durant la formation, même si quelques incidents ont été notés en lien avec l’impulsivité mal maîtrisée (cf. p. 18 du rapport d’expertise du Dr BC.________). A cela s’ajoute le fait que le SMR a retenu que les conclusions de l’expert BC.________ étaient en contradiction avec celles du Dr B.________ au seul motif que ce dernier, qui avait également retenu une personnalité émotionnellement labile de type borderline, l’avait considéré comme non durablement incapacitante (cf. avis SMR du 26 mars 2024). Or le Dr B.________ est le seul médecin qui a attesté une pleine capacité de travail, alors que tous les spécialistes parlent d’une situation invalidante. Ainsi, le Dr C.________ a attesté une capacité de travail nulle, le Dr D.________ une capacité de travail nulle dans l’activité habituelle d’employé de commerce et de 50 % dans une activité adaptée et le Dr F.________ une capacité de travail nulle dans tous les types d’activité (cf. rapports des 1er juillet 2012, 3 décembre 2014 et 15 novembre 2022). A ce stade déjà, il existait un doute quant à la fiabilité et la cohérence des constatations effectuées par le SMR dans son avis du 26 mars 2024, qui aurait dû conduire l’intimé à procéder à une instruction complémentaire s’il entendait s’écarter de la capacité de travail attestée par l’expert BC.________. 10J010</w:t>
      </w:r>
    </w:p>
    <w:p>
      <w:r>
        <w:t>- 24 - Ensuite, le recourant a produit, dans le cadre de la procédure d’audition, un rapport du 8 septembre 2024 du Dr F.________, selon lequel il était d’accord avec l’expert BC.________ (cf. p. 11 du rapport d’expertise du</w:t>
      </w:r>
    </w:p>
    <w:p>
      <w:r>
        <w:rPr>
          <w:b/>
        </w:rPr>
        <w:t>E. 11</w:t>
      </w:r>
    </w:p>
    <w:p>
      <w:r>
        <w:t>octobre 2023) sur le fait que les problèmes avec l’alcool étaient maintenant primaires, les troubles mentaux retenus étant tous plus anciens que les difficultés que le recourant avait eu avec l’alcool. Le SMR, dans son avis du 2 octobre 2024, n’a toutefois pas discuté cette question, se limitant à constater que les troubles de personnalité étaient connus de longue date. Or la question de savoir si l’alcoolisme du recourant était primaire ou secondaire aurait dû se poser. En effet, au vu des diagnostics posés par le Dr F.________ et l’expert BC.________ et de l’aggravation de l’état de santé décrite, il n’était plus possible de soutenir que l’ensemble de la symptomatologie relevée découlait d’une consommation excessive d’alcool. En outre, le fait que l’expert ait fait remonter le début de l’incapacité de travail à 2012 ne suffit pas pour considérer que la situation du recourant est restée inchangée. En réalité, l’expert explique surtout que le recourant ne s’est jamais stabilisé dans un poste de travail depuis 2012 constatant, en 2023, qu’en raison de la conjonction des pathologies, à savoir le trouble déficitaire de l’attention avec hyperactivité, les troubles mixtes de la personnalité (traits borderline et schizotypique) et le trouble dépressif récurrent d’intensité variable, il a dû déployer des mécanismes adaptatifs pour maintenir ses emplois jusqu’à avoir désormais atteint ses limites. Dans son rapport du 12 novembre 2022, le Dr F.________ relève également une aggravation de la symptomatologie du recourant constatant une évolution néfaste depuis la dernière décision de l’AI, une humeur imprévisible, de l’impulsivité mal maîtrisée et des explosions émotionnelles. Il atteste une capacité de travail nulle depuis 2020 expliquant que le TDAH dont souffre le recourant l’amène à présenter une grande tendance à la dispersion et de grandes difficultés de planification et d’organisation qui sont désormais aggravées par les symptômes du trouble schizotypique (cf. rapports des 12 novembre 2022 et 8 septembre 2024). L’intimé ne pouvait dès lors pas se contenter du simple avis, très peu étayé, du SMR du 2 octobre 2024 pour retenir l’absence d’aggravation de l’état de santé psychique du recourant. 10J010</w:t>
      </w:r>
    </w:p>
    <w:p>
      <w:r>
        <w:t>- 25 - f) Au vu de ce qui précède, on ne voit pas quels sont les éléments probants qui ont pu amener l’OAI à retenir que l’état de santé psychique du recourant n’avait pas subi de changement notable. On ignore également précisément à quelle période cette aggravation est survenue. Partant, il convient de constater que l’instruction s’avère lacunaire et qu’il se justifie de renvoyer la cause à l’intimé, à qui il appartient au premier chef d’instruire, conformément au principe inquisitoire qui régit la procédure dans le domaine des assurances sociales selon l’art. 43 al. 1 LPGA, pour qu’il en complète l’instruction, puis rende une nouvelle décision. 8. a) Il s’ensuit que le recours doit être admis et la décision entreprise annulée, la cause étant renvoyée à l’intimé pour instruction complémentaire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partie recourante obtient gain de cause, si bien qu’elle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10J010</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