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ZD25.009624 vom 28. April 2025</w:t>
      </w:r>
    </w:p>
    <w:p>
      <w:r>
        <w:t>VD Tribunal cantonal, 2025-04-28, FR</w:t>
      </w:r>
    </w:p>
    <w:p>
      <w:r>
        <w:rPr>
          <w:b/>
        </w:rPr>
        <w:t xml:space="preserve">Quelle: </w:t>
      </w:r>
      <w:r>
        <w:t>https://mcp.opencaselaw.ch/entscheid/vd_gerichte_ZD25.009624</w:t>
      </w:r>
    </w:p>
    <w:p>
      <w:r>
        <w:t>FR: VD_GERICHTE ZD25.009624 du 28 avril 2025</w:t>
      </w:r>
    </w:p>
    <w:p>
      <w:r>
        <w:t>IT: VD_GERICHTE ZD25.009624 del 28 aprile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w:t>
      </w:r>
    </w:p>
    <w:p>
      <w:r>
        <w:t>- 14 -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w:t>
      </w:r>
    </w:p>
    <w:p>
      <w:r>
        <w:rPr>
          <w:b/>
        </w:rPr>
        <w:t>E. 5</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w:t>
      </w:r>
    </w:p>
    <w:p>
      <w:r>
        <w:t>- 15 -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demande de révision,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Cette limitation du pouvoir d’examen du juge ne s’applique toutefois pas si l’administration a omis d’impartir un délai à la personne assurée pour produire les pièces pertinentes auxquelles il s’était référé dans sa demande (ATF 130 V 64 consid. 5.2.5 et 6).</w:t>
      </w:r>
    </w:p>
    <w:p>
      <w:r>
        <w:t>- 16 -</w:t>
      </w:r>
    </w:p>
    <w:p>
      <w:r>
        <w:rPr>
          <w:b/>
        </w:rPr>
        <w:t>E. 6</w:t>
      </w:r>
    </w:p>
    <w:p>
      <w:r>
        <w:t>a) En l’occurrence, l’office intimé n’est pas entré en matière sur la nouvelle demande. Il faut donc se limiter à examiner si le recourant, dans ses démarches auprès de l’office intimé jusqu’à la décision objet de la présente procédure, a établi de façon plausible que son invalidité s’était modifiée, en comparant les faits tels qu’ils se présentaient au moment de la décision de refus d’entrer en matière du 27 janvier 2025 et les circonstances prévalant à l’époque de la décision du 6 décembre 2011, confirmée le 11 mars 2014 par la Cour de céans. Il est relevé que la décision attaquée mentionne une fois par erreur une capacité de travail de 50 %. Or, il est constant que la comparaison a été effectuée avec la situation telle que présentée lors de la décision du 6 décembre 2011, à savoir une capacité de travail de 100 % dans une activité adaptée. Cette erreur manifeste ne modifie en rien l’argumentation de l’OAI qui repose sur le dernier avis du SMR du 21 janvier 2025, lequel prend en compte une capacité de travail de 100 % à titre de comparaison avec la situation actuelle. Elle n’a suscité aucun doute auprès du recourant qui n’en a fait aucune mention. Il est encore précisé que le recourant se prévaut essentiellement d’une aggravation de l’état de son genou droit. b) Comme relevé lors de l’examen de la précédente décision de refus d’entrer en matière (arrêt de la Cour des assurances sociales du Tribunal cantonal du 15 décembre 2022, confirmé par le Tribunal fédéral le 7 juillet 2023), la situation ayant donné lieu à la décision de 2011 était fondée sur les rapports de la S.________, notamment le rapport final du 20 juillet 2010 qui retenait en particulier les éléments suivants : « Au status, on retient une boiterie antalgique à droite à la marche avec un patient qui n’utilise presque pas son genou, le pliant à peine à 30° et traînant sa jambe en abduction et rotation externe. Le genou droit présente un épanchement modéré, et légèrement plus chaud sans érythème cutané. La palpation est diffusément douloureuse chez un patient ne se laissant pas examiner comme il faut. L’amplitude active et de flexion-extension 110°-0-0°, améliorable en passif à 120°-0-0° (autolimitée). Il n’y a pas de laxité ligamentaire. A l’examen neurologique, le patient allègue une</w:t>
      </w:r>
    </w:p>
    <w:p>
      <w:r>
        <w:t>- 17 - hypoesthésie n’intéressant que tout le côté latéral de la cuisse droite. Le reste du status neurologique est dans les normes. Au plan radiologique, nous ne disposons pas de cliché bilatéral des genoux récent. Nous complétons par un nouveau bilan radiologique des deux genoux en comparatif. Les radiographies actuelles des genoux confirment des signes de gonarthrose tricompartimentale débutante prédominant au compartiment fémoro-tibial externe avec dans ce compartiment une sclérose sous-chondrale et ostéophytose avec malgré tout un bon espace cartilagineux. Notre orthopédiste consultant estime qu’une hémiprothèse externe ne réglera pas les douleurs antéro-internes et qu’une prothèse totale du genou est une mesure disproportionnée par rapport aux images IRM et aux images radiologiques, de plus dans un contexte psychosocial délétère. Il propose de poursuivre le traitement conservateur. Au plan médicamenteux, nous poursuivons le traitement par Chondrosulf associé à du Dafalgan et du Méfénacid. » Avant de rendre la décision de refus de rente, l’intimé s’était positionné sur les objections du recourant en relevant notamment que les rapports du Dr M.________ des 8 et 29 avril 2011 différaient du constat clinique des experts de la S.________ sur deux points : l’amplitude de la flexion-extension du genou et la question de la mise en place d’une prothèse totale du genou. Les degrés de flexion-extension tels que relevés par le Dr M.________ étaient légèrement plus faibles. Néanmoins, aucun élément précis dans le rapport de ce praticien ne permettait de retenir que les limitations fonctionnelles telles que décrites par la S.________ pouvaient être insuffisantes, outre que la mesure de l’amplitude de la flexion-extension pouvait être influencée par la compliance du patient lors de l’examen. S’agissant de la divergence quant à la pose d’une prothèse totale, elle demeurait sans incidence en l’espèce et n’aurait d’importance que dans le cadre de l’examen de l’exigibilité d’une réduction du dommage. c) Afin de rendre plausible l’aggravation de son invalidité, le recourant s’est référé à une expertise qui aurait été réalisée par le Dr D.________ en 2016 à la demande de la CNA, qui n’est toutefois pas au dossier et qu’il n’a pas produite. Il s’est ensuite prévalu des rapports du Dr M.________ établis en 2019 et du Dr V.________ rédigé en 2020. Ces rapports ont cependant d’ores et déjà fait l’objet d’un examen par la Cour</w:t>
      </w:r>
    </w:p>
    <w:p>
      <w:r>
        <w:t>- 18 - de céans dans son arrêt du 15 décembre 2022, qui a considéré que ces rapports médicaux ne rendaient pas plausible une aggravation de l’état de santé du recourant. Cette appréciation a été confirmée par le Tribunal fédéral dans son arrêt du 7 juillet 2023 (consid. 6.2.2, auquel il est renvoyé). S’agissant du rapport du Prof. W.________ du 11 janvier 2024, produit à l’appui de la nouvelle demande, le médecin du SMR dans son avis du 21 janvier 2025 a constaté que bien qu’il y ait eu une aggravation radiologique de la gonarthrose, les éléments de comparaison objectifs montraient un status clinique en 2010, 2011 et 2021 qui était semblable à celui décrit par le Prof. W.________ en 2024. Le recourant y a objecté que la flexion du genou droit était passée de 100° à 90° avec une disparition quasi complète de l’interligne externe, ce qui constituait un critère objectif d’aggravation. Or, comme le Tribunal fédéral l’a déjà relevé dans son arrêt du 7 juillet 2023, une augmentation de la synovite, une augmentation de l’épanchement (dont l’ampleur n’a toujours pas été précisée) et une diminution de l’amplitude de la flexion d’environ 10° ne suffisent pas à elles seules à rendre plausible une modification de l’invalidité. Le recourant a ajouté que le médecin avait constaté une dégradation avancée du genou droit et des douleurs invalidantes qui ne permettaient plus un travail même léger. Or ce constat d’aggravation clinique n’est pas objectivé et le Prof. W.________, comme le Dr M.________ auparavant, n’a pas exposé concrètement en quoi l’aggravation de la gonarthrose aurait une incidence sur les limitations fonctionnelles telles que décrites dans la décision du 6 décembre 2011. Il est relevé que le médecin du recourant avait déjà un avis divergent relatif à la capacité de travail en 2011. A l’instar de ce qui ressort de l’arrêt du Tribunal fédéral précité, il n’est toujours pas fait état de nouvelles limitations fonctionnelles. Dans son rapport du 2 avril 2019, le Dr M.________ a au demeurant observé que, cliniquement, il n’y avait pas de modifications significatives depuis 2014. Quant au Prof. W.________, il a noté que la</w:t>
      </w:r>
    </w:p>
    <w:p>
      <w:r>
        <w:t>- 19 - situation avait beaucoup évolué, le genou droit restant douloureux avec un épanchement persistant et une raideur. On ne discerne pas de péjoration dans ces constatations qui parlent davantage en faveur de la persistance d’un état. Quoiqu’en dise le recourant, le traitement antalgique est également demeuré inchangé, ce qui n’indique pas une aggravation de l’état. Le recourant estime que la recommandation de la mise en place d’une prothèse totale du genou montre une péjoration de son état. Or, celle-ci était recommandée déjà en 2011 mais n’a pas été réalisée. Encore une fois, comme le Tribunal fédéral l’a relevé dans son arrêt du 7 juillet 2023, l’indication actuelle à la pose d’une prothèse n’est pas suffisante pour justifier une entrée en matière sur la nouvelle demande de prestations. A l’instar du SMR, il y a lieu de retenir que, certes l’assuré présente une gonarthrose tricompartimentale du genou droit qui s’aggrave au fil du temps, suivant l’évolution naturelle d’une atteinte dégénérative articulaire, cependant les répercussions cliniques ne montrent pas de modification significative de cette atteinte par rapport à 2010-2011. Dès lors, le rapport du Prof. W.________ n’apporte pas d’élément médical en faveur d’une aggravation objective de la situation clinique de l’assuré, et par là-même de sa capacité de travail dans une activité adaptée à des mesures d’épargne des genoux. En définitive, les rapports médicaux au dossier ne rendent pas plausible une aggravation de l’état de santé du recourant depuis la dernière décision. C’est donc à bon droit que l’intimé n’est pas entré en matière sur la nouvelle demande de prestations.</w:t>
      </w:r>
    </w:p>
    <w:p>
      <w:r>
        <w:rPr>
          <w:b/>
        </w:rPr>
        <w:t>E. 7</w:t>
      </w:r>
    </w:p>
    <w:p>
      <w:r>
        <w:t>a) Aux termes de l’art. 82 LPA-VD, l’autorité peut renoncer à l’échange d’écritures ou, après celui-ci, à toute autre mesure d’instruction, lorsque le recours apparaît manifestement irrecevable, bien ou mal fondé</w:t>
      </w:r>
    </w:p>
    <w:p>
      <w:r>
        <w:t>- 20 - (al. 1). Dans ces cas, elle rend, à bref délai, une décision d’irrecevabilité, d’admission ou de rejet sommairement motivée (al. 2). En l’occurrence, le recours est manifestement mal fondé. En effet, la seule pièce nouvelle produite à l’appui de la nouvelle demande consiste en un rapport du Prof. W.________ qui ne contient manifestement pas les indications suffisantes requises et rappelées par le Tribunal fédéral dans son précédent arrêt. Ainsi, le recours doit être rejeté en application de l’art. 82 LPA-VD et la décision attaquée confirmée, sans autre échange d’écriture. b) Le recourant a sollicité la mise en œuvre de débats publics au sens de l’art. 6 par. 1 CEDH (Convention européenne de sauvegarde des droits de l’homme et des libertés fondamentales du 4 novembre 1950 ; RS 0.101). Le juge peut s’abstenir de mettre en œuvre des débats publics dans les cas prévus par l'art. 6 par. 1 phr. 2 CEDH, lorsque la demande est abusive (chicanière ou dilatoire), lorsqu'il apparaît clairement que le recours est infondé, irrecevable ou, au contraire, manifestement bien- fondé ou encore lorsque l’objet du litige porte sur des questions hautement techniques (ATF 141 I 97 consid. 5.1 ; TF 9C_59/2020 du 13 mai 2020 consid. 3.1 et les références citées). En l’espèce, il résulte des considérations exposées ci-avant que le recours est manifestement infondé. Partant, il n’y a pas lieu de donner suite à la requête de débats publics formulée par le recourant. c)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Le caractère manifestement mal fondé du présent recours et son défaut prévisible de chance de succès commandent</w:t>
      </w:r>
    </w:p>
    <w:p>
      <w:r>
        <w:t>- 21 - le rejet de l’assistance judiciaire (art. 61 let. f LPGA), indépendamment de la situation financière dans laquelle se trouve le recourant. d) La procédure de recours en matière de contestations portant sur l’octroi ou le refus de prestations de l’assurance-invalidité est soumise à des frais de justice (art. 69 al. 1bis LAI). Il convient de les fixer à 600 fr. et de les mettre à la charge de la partie recourante qui succombe. e)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