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ZD25.009240 vom 13. Mai 2026</w:t>
      </w:r>
    </w:p>
    <w:p>
      <w:r>
        <w:t>VD Tribunal cantonal, 2026-05-13, FR</w:t>
      </w:r>
    </w:p>
    <w:p>
      <w:r>
        <w:rPr>
          <w:b/>
        </w:rPr>
        <w:t xml:space="preserve">Quelle: </w:t>
      </w:r>
      <w:r>
        <w:t>https://mcp.opencaselaw.ch/entscheid/vd_gerichte_ZD25.009240</w:t>
      </w:r>
    </w:p>
    <w:p>
      <w:r>
        <w:t>FR: VD_GERICHTE ZD25.009240 du 13 mai 2026</w:t>
      </w:r>
    </w:p>
    <w:p>
      <w:r>
        <w:t>IT: VD_GERICHTE ZD25.009240 del 13 maggio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des prestations de l’assurance-invalidité, singulièrement une rente. 10J010</w:t>
      </w:r>
    </w:p>
    <w:p>
      <w:r>
        <w:t>- 7 -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 Dans le cas présent, le droit éventuel de la recourante à une rente d’invalidité ne pourrait prendre naissance qu’à compter du 1er juillet 2022, à savoir à l’échéance du délai de carence d’une année prévue à l’art. 28 al. 1 let. b LAI (cf. également art. 29 al. 3 LAI). Il convient donc d’appliquer le droit en vigueur à partir du 1er janvier 2022.</w:t>
      </w:r>
    </w:p>
    <w:p>
      <w:r>
        <w:rPr>
          <w:b/>
        </w:rPr>
        <w:t>E. 2.2</w:t>
      </w:r>
    </w:p>
    <w:p>
      <w:r>
        <w:t>et les références). c) En l’occurrence, il résulte des considérations exposées ci- avant que le recours est manifestement bien-fondé, de sorte qu’il n’y a pas lieu de donner suite à la requête de débats publics formulée par la recourante.</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10J010</w:t>
      </w:r>
    </w:p>
    <w:p>
      <w:r>
        <w:t>- 8 -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4</w:t>
      </w:r>
    </w:p>
    <w:p>
      <w:r>
        <w:t>a) L’assureur examine les demandes, prend d’office les mesures d’instruction nécessaires et recueille les renseignements dont il a besoin (art. 43 al. 1, première phrase, LPGA). Le devoir d’instruction s’étend jusqu’à ce que les faits nécessaires à l’examen des prétentions en cause soient suffisamment élucidés (TF 8C_86/2025 du 8 janvier 2026 consid. 2.4). b) L’assureur dispose notamment de la possibilité de mettre en œuvre une expertise, moyen de preuve régi par l’art. 44 LPGA. Dans une telle hypothèse, l’assureur doit transmettre les noms des experts aux parties, celles-ci pouvant demander leurs récusations pour les motifs indiqués à l’art. 36 al. 1 LPGA et présenter des contre-propositions dans un délai de dix jours (art. 44 al. 2 LPGA). Si, malgré la demande de récusation, l’assureur maintient son choix du ou des experts pressentis, il en avise les parties par une décision incidente (art. 44 al. 4 LPGA). c) Selon la formule consacrée par la jurisprudence (ATF 118 la 144 consid. 1c), l’expert a pour tâche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Il est l’auxiliaire du juge ou de l’administration, dont il complète les connaissances par son savoir de spécialiste (ATF 127 I 73, consid. 3f/bb ; Jacques Olivier Piguet in Dupont/Moser-Szeless [édit.], Commentaire 10J010</w:t>
      </w:r>
    </w:p>
    <w:p>
      <w:r>
        <w:t>- 9 - romand, Loi sur la partie générale des assurances sociales, 2e éd., Bâle 2025, n° 10 ad art. 44 LPGA). d) Faisant appel aux connaissances particulières d’un tiers spécialiste, la réalisation d’une expertise est une tâche éminemment personnelle ; le ou les experts désignés ne peuvent être que des personnes physiques. Le transfert de tout ou partie de l’exécution du mandat à un autre spécialiste (substitution) ou le recours aux connaissances spécialisées d’une tierce personne n’est possible qu’avec l’autorisation de celui qui a ordonné l’expertise (ATF 146 V 9 consid. 4.2.1 et 4.2.2 ; Jacques Olivier Piguet, op. cit., n° 12 ad art. 44 LPGA et les références). e) L’exécution personnelle du mandat n’exclut en revanche pas que l’expert recoure aux services d’un interprète ou d’un traducteur ou qu’il confie de son propre chef, sous sa responsabilité, certaines tâches techniques (analyses) ou des travaux de recherche et de rédaction à un stagiaire ou à un collaborateur, soit à des auxiliaires se trouvant sous son autorité et sa surveillance. Une telle assistance fournie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Il est, en effet, essentiel que ce dernier accomplisse personnellement les tâches fondamentales d’une expertise médicale, puisqu’il a été désigné précisément en raison de son savoir, de ses connaissances scientifiques et de son indépendance. Font partie des tâches fondamentales d’une expertise la prise de connaissance du dossier dans son ensemble et son analyse critique, l’examen de la personne soumise à l’expertise, ou encore le travail intellectuel de réflexion portant sur l’appréciation du cas et les conclusions qui peuvent en être tirées (ATF 146 V 9 consid. 4.2.1 ; TF 8C_267/2023 du 17 novembre 2023 ; Jacques Olivier Piguet, op. cit., n° 12a ad art. 44 LPGA et les références).</w:t>
      </w:r>
    </w:p>
    <w:p>
      <w:r>
        <w:rPr>
          <w:b/>
        </w:rPr>
        <w:t>E. 5</w:t>
      </w:r>
    </w:p>
    <w:p>
      <w:r>
        <w:t>a) Pour fixer le degré d’invalidité, l’administration – en cas de recours, le juge – se fonde sur des documents médicaux, ainsi que, le cas 10J010</w:t>
      </w:r>
    </w:p>
    <w:p>
      <w:r>
        <w:t>- 10 -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Les affections psychiques, les affections psychosomatiques et les syndromes de dépendance à des substances psychotropes doivent en principe faire l’objet d’une procédure probatoire structurée (ATF 145 V 215 ; 143 V 418 consid. 6 et 7 ; 141 V 281 et les références). Ainsi, le caractère invalidant de telles atteintes doit être établi dans le cadre d’un examen 10J010</w:t>
      </w:r>
    </w:p>
    <w:p>
      <w:r>
        <w:t>- 11 -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a) En l’espèce, l’intimé, estimant que la situation nécessitait d’être éclaircie sur le plan médical, a confié, en août 2023, la réalisation d’une expertise psychiatrique au Dr G.________. La recourante a ainsi été reçue à deux entretiens les 4 et 18 octobre 2023 au cabinet de ce dernier. Dans son rapport du 25 octobre 2023, cet expert a mis en évidence les diagnostics – incapacitants – de trouble dépressif récurrent moyen avec syndrome somatique et de dépendance aux benzodiazépines (recte : à l’alcool), utilisation continue, sans tolérance et sans augmentation des doses, de même que le diagnostic – non incapacitant – de traits de la personnalité émotionnellement labile et anxieuse, actuellement non décompensé, tout en concluant à une capacité de travail résiduelle de 70 % dans toute activité, y compris dans l’activité habituelle d’assistante de direction. L’intimé, s’appuyant sur les résultats de l’expertise, a alors refusé à l’assurée le droit à une rente et à des mesures d’ordre professionnel, après avoir évalué son invalidité à 24 % à l’aune de la méthode mixte. b) Cela étant, il ressort de l’écoute des enregistrements des deux entretiens expertaux – produits par l’intimé avec son écriture du 11 décembre 2025 – que ces derniers ont, en réalité, été menés non par le Dr G.________, mais par une femme ne révélant pas son identité. L’OAI a, par la suite, précisé, dans le cadre de procédure de recours, qu’il s’agissait de la psychologue E.________, dont le nom figurait en premier page du rapport d’expertise en tant que « [p]ersonne associée ». A aucun moment, en revanche, il n’est possible d’entendre le Dr G.________ parler, de sorte qu’il apparaît vraisemblable qu’il n’ait pas participé aux entretiens. Or, comme expliqué ci-dessus (cf. supra consid. 4d), le transfert, même partiel, d’un mandat d’expertise ne peut concerner qu’un autre spécialiste et est conditionné à l’autorisation de l’organe qui a mis en œuvre ce moyen de preuve. Ainsi, même à supposer qu’E.________ puisse être considérée comme une spécialiste au sens de la jurisprudence, ce qui parait douteux, 10J010</w:t>
      </w:r>
    </w:p>
    <w:p>
      <w:r>
        <w:t>- 12 - dans la mesure où elle ne disposait pas d’un titre de médecin spécialiste en psychiatrie et psychothérapie, force est de constater que le Dr G.________ n’a jamais informé l’intimé que les entretiens allaient être conduits par cette psychologue ni n’a cherché à obtenir, de la part de cette autorité, le consentement à cette délégation de tâches. Cette omission a eu pour effet que la recourante, du fait qu’elle ne s’était pas vue communiquer, en amont, le nom de la personne qui allait l’interroger, n’a pas pu faire valoir d’éventuels motifs de récusation à l’encontre de celle-ci avant la réalisation de l’expertise, ce en violation de ses droits de participation et d’être entendue (cf. ATF 146 V 9 consid. 4.3.2 in fine). Toutefois, le point de savoir si l’atteinte aux droits précités était ou non susceptible de réparation peut souffrir de rester ouverte, puisque le rapport d’expertise du 25 octobre 2023 doit, de toute manière, être écarté pour une autre raison. En effet, une expertise doit, en principe, être effectuée personnellement par le spécialiste mandaté. Ce dernier est, certes, en droit de déléguer à un auxiliaire certaines missions secondaires, telles que des analyses ou des travaux de recherche. Il reste néanmoins tenu d’accomplir les tâches fondamentales, en particulier l’examen de la personne (cf. supra consid. 4d et 4e). Aussi, en sous-traitant la conduite des entretiens d’investigation – lesquels englobent l’anamnèse, le recensement des symptômes et l’observation du comportement de l’assurée et constituent la base principale des constatations et des conclusions de l’expertise psychiatrique (cf. TF 8C_109/2021 du 6 septembre 2021 consid. 5.1.2.6) – à E.________ au lieu de réaliser lui-même cette partie – centrale – du mandat qui lui avait été expressément confié par l’intimé, le Dr G.________ a failli à ses obligations découlant de l’art. 44 LPGA. Son rapport est, partant, entaché d’un défaut formel grave. Il ne saurait, dans ces conditions, être question de lui reconnaître une quelconque valeur probante, si bien qu’il n’est pas nécessaire de se pencher plus amplement sur son contenu matériel. Au demeurant, interpeller le Dr G.________ afin de lui permettre de s’exprimer sur les griefs de la recourante – comme l’a suggéré l’OAI dans sa réponse et sa duplique –, ne s’avère pas une démarche à même de pallier ce vice – rédhibitoire – de procédure. 10J010</w:t>
      </w:r>
    </w:p>
    <w:p>
      <w:r>
        <w:t>- 13 - c) Dès lors, au vu de ce qui précède, il appert que l’intimé n’était pas en droit de se fonder sur les conclusions du rapport d’expertise du Dr G.________ pour refuser d’allouer à la recourante une rente d’invalidité, respectivement des mesures d’ordre professionnel.</w:t>
      </w:r>
    </w:p>
    <w:p>
      <w:r>
        <w:rPr>
          <w:b/>
        </w:rPr>
        <w:t>E. 7</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b) In casu, il ressort des considérants qui précèdent que le rapport d’expertise du 25 octobre 2023 du Dr G.________ n’emporte pas valeur probante, ce dont l’intimé devait se rendre compte au moment où il a statué. Les différents rapports des médecins traitants ne remplissent, quant à eux, pas les réquisits jurisprudentiels en matière d’affections psychiques (cf. supra consid. 5c). L’état actuel du dossier ne permet donc pas de se prononcer sur le droit de la recourante aux prestations d’invalidité. Il convient, par conséquent, de renvoyer la cause à cette autorité, étant donné que c’est à elle qu’il incombe en premier lieu d’instruire, conformément au principe inquisitoire qui régit la procédure dans le domaine des assurances sociales (cf. supra consid. 4a). Il lui appartiendra, à cet effet, de mettre en place une nouvelle expertise respectant les règles formelles en la matière, tout en tenant compte, sur le fond, des éléments médicaux mis en évidence postérieurement à l’expertise du Dr G.________ par la Dre F.________, notamment le tentamen de l’assurée. 10J010</w:t>
      </w:r>
    </w:p>
    <w:p>
      <w:r>
        <w:t>- 14 -</w:t>
      </w:r>
    </w:p>
    <w:p>
      <w:r>
        <w:rPr>
          <w:b/>
        </w:rPr>
        <w:t>E. 8</w:t>
      </w:r>
    </w:p>
    <w:p>
      <w:r>
        <w:t>a) La recourante a, par ailleurs, sollicité la tenue de débats publics. b) Le juge peut s’abstenir de mettre en œuvre des débats publics dans les cas prévus à l’art. 6 par. 1 CEDH, lorsque la demande est abusive, chicanière, ou dilatoire, lorsqu’il apparaît clairement que le recours est infondé, irrecevable ou, au contraire, manifestement bien-fondé ou encore lorsque l’objet du litige porte sur des questions hautement techniques (ATF 141 I 97 consid. 5.1 ; TF 9C_601/2022 du 6 juin 2023 consid.</w:t>
      </w:r>
    </w:p>
    <w:p>
      <w:r>
        <w:rPr>
          <w:b/>
        </w:rPr>
        <w:t>E. 9</w:t>
      </w:r>
    </w:p>
    <w:p>
      <w:r>
        <w:t>a) En définitive, le recours, manifestement bien fondé, doit être admis et la décision rendue le 23 janvier 2025 par l’intimé annulée, la cause étant renvoyée à ce dernier pour instruction complémentaire au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Par ces motifs, 10J010</w:t>
      </w:r>
    </w:p>
    <w:p>
      <w:r>
        <w:t>- 15 - la Cour des assurances sociales p r o n o n c e : I. Le recours est admis. II. La décision rendue le 23 janvier 2025 par l’Office de l’assurance- invalidité pour le canton de Vaud est annulée, la cause lui étant renvoyée pour complément d’instruction au sens des considérants et nouvelle décision. III. Les frais judiciaires, arrêtés à 600 fr. (six cents francs), sont mis à la charge de l’Office de l’assurance-invalidité pour le canton de Vaud. IV. L’Office de l’assurance-invalidité pour le canton de Vaud versera à B.________ une indemnité de 1'500 fr. (mille cinq cents francs) à titre de dépens. Le président : Le greffier : Du L’arrêt qui précède, dont la rédaction a été approuvée à huis clos, est notifié à : - Me Jean-Michel Duc (pour B.________),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10J010</w:t>
      </w:r>
    </w:p>
    <w:p>
      <w:r>
        <w:t>- 16 -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