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ZD25.008268 vom 3. September 2025</w:t>
      </w:r>
    </w:p>
    <w:p>
      <w:r>
        <w:t>VD Tribunal cantonal, 2025-09-03, FR</w:t>
      </w:r>
    </w:p>
    <w:p>
      <w:r>
        <w:rPr>
          <w:b/>
        </w:rPr>
        <w:t xml:space="preserve">Quelle: </w:t>
      </w:r>
      <w:r>
        <w:t>https://mcp.opencaselaw.ch/entscheid/vd_gerichte_ZD25.008268</w:t>
      </w:r>
    </w:p>
    <w:p>
      <w:r>
        <w:t>FR: VD_GERICHTE ZD25.008268 du 3 septembre 2025</w:t>
      </w:r>
    </w:p>
    <w:p>
      <w:r>
        <w:t>IT: VD_GERICHTE ZD25.008268 del 3 settembre 2025</w:t>
      </w:r>
    </w:p>
    <w:p>
      <w:pPr>
        <w:pStyle w:val="Heading2"/>
      </w:pPr>
      <w:r>
        <w:t>Erwägungen</w:t>
      </w:r>
    </w:p>
    <w:p>
      <w:r>
        <w:rPr>
          <w:b/>
        </w:rPr>
        <w:t>E. 3</w:t>
      </w:r>
    </w:p>
    <w:p>
      <w:r>
        <w:t>a) Dans le cadre du « développement continu de l'AI », la LAI, le RAI (règlement du 17 janvier 1961 sur l’assurance-invalidité ; RS</w:t>
      </w:r>
    </w:p>
    <w:p>
      <w:r>
        <w:t>- 7 - 831.201) et la LPGA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 b) En l’espèce, bien que la présente affaire résulte d’une (nouvelle) demande de prestations déposée le 23 août 2021, situation donnant généralement lieu à l’application du nouveau droit, la position du recourant repose sur la révision procédurale de la décision du 28 mai 2020 et sur l’ouverture d’un droit à la rente avant le 31 décembre 2021, tombant ainsi sous le coup de l’ancien droit.</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- 8 -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5</w:t>
      </w:r>
    </w:p>
    <w:p>
      <w:r>
        <w:t>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w:t>
      </w:r>
    </w:p>
    <w:p>
      <w:r>
        <w:t>- 9 -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w:t>
      </w:r>
    </w:p>
    <w:p>
      <w:r>
        <w:rPr>
          <w:b/>
        </w:rPr>
        <w:t>E. 6</w:t>
      </w:r>
    </w:p>
    <w:p>
      <w:r>
        <w:t>a) En principe, il n’y a pas lieu de revenir sur les décisions entrées en force, en particulier pour des raisons d’égalité de traitement entre assurés et de sécurité du droit, notamment pour éviter de pouvoir remettre perpétuellement en cause des décisions rendues. Toutefois,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b)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(loi du 17 juin 2005 sur le Tribunal fédéral ; RS 173.110). Sont nouveaux, au sens de ces dispositions, les faits qui se sont produits jusqu’au moment où des allégations de faits étaient encore recevables dans la procédure principale, mais qui n’étaient pas connus de la partie requérante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de la partie requérante. Dans ce contexte, le moyen de preuve ne doit pas servir à l’appréciation des faits seulement,</w:t>
      </w:r>
    </w:p>
    <w:p>
      <w:r>
        <w:t>- 10 - mais à l’établissement de ces derniers (ATF 144 V 245 consid. 5.1 s. ; 143 V 105 consid. 2.3). c) La révision procédurale est soumise à un délai relatif de nonante jours dès la découverte du motif de révision, ainsi qu’à un délai absolu de dix ans qui commence à courir avec la notification de la décision (cf. art. 67 al. 1 PA [loi fédérale du 20 décembre 1968 sur la procédure administrative ; RS 172.021] en relation avec l'art. 55 al. 1 LPGA ; cf. TF 8C_434/2011 du 8 août 2011 consid. 3, in SVR 2012 UV n° 17 p. 63).</w:t>
      </w:r>
    </w:p>
    <w:p>
      <w:r>
        <w:rPr>
          <w:b/>
        </w:rPr>
        <w:t>E. 7</w:t>
      </w:r>
    </w:p>
    <w:p>
      <w:r>
        <w:t>A titre liminaire, il convient de relever, sur le plan procédural, qu’il n’y avait aucun motif qui justifiait de rendre deux décisions séparées concernant, d’une part, la question du droit à la rente et, d’autre part, la question de la révision procédurale. Dans la mesure où la problématique soulevée par le recourant concernait le droit à une rente d’invalidité, singulièrement la naissance du droit à la rente, elle aurait dû être résolue dans le cadre d’une seule et même décision. En rendant deux décisions, l’intimé a par conséquent compliqué de manière inutile la procédure.</w:t>
      </w:r>
    </w:p>
    <w:p>
      <w:r>
        <w:rPr>
          <w:b/>
        </w:rPr>
        <w:t>E. 8</w:t>
      </w:r>
    </w:p>
    <w:p>
      <w:r>
        <w:t>Sur le fond, le recourant ne conteste pas la fin du droit à la rente d’invalidité mais uniquement la naissance de celui-ci, en lien avec la révision procédurale de la décision du 28 mai 2020 qu’il requiert. Il fait valoir que l’expertise du 17 février 2024 apporterait des éléments de faits nouveaux propres à remplir les conditions d’une révision procédurale au sens de l’art. 53 al. 1 LPGA et justifiant de fixer la naissance du droit à la rente au 13 avril 2021. a) Tout d’abord, il convient de préciser qu’on ne saurait suivre le recourant lorsqu’il prétend que la deuxième demande de prestations déposée le 23 août 2021 doit être considérée comme une demande de révision. En effet, celui-ci se fonde sur le rapport d’expertise du 17 février 2024 pour justifier la révision procédurale de la décision du 28 mai 2020. Or la demande du 23 août 2021 ayant été introduite antérieurement à l’établissement dudit rapport, elle ne saurait, par définition, constituer une demande de révision fondée sur ce document.</w:t>
      </w:r>
    </w:p>
    <w:p>
      <w:r>
        <w:t>- 11 - b) Ensuite, il y a lieu de constater que les faits déterminants sur lesquels le recourant se fonde pour justifier une révision procédurale étaient connus au moment où l’intimé a rendu sa première décision le 28 mai 2020. En effet, il ressort du dossier que le Dr C.________, dans un rapport du 2 mars 2020, avait évoqué l'existence de multiples douleurs somatiques (lombalgies avec irradiations dans la jambe, épaules, bras droit, bras gauche) qui n'avaient « jamais été explorées médicalement ». De même, le recourant avait expliqué, dans le cadre d'un entretien téléphonique s'étant déroulé le 25 mars 2020, avoir fait une tentative de reprise professionnelle, laquelle s'était soldée par un échec en raison de douleurs trop importantes au niveau du dos et des deux bras après une journée de travail. Pour autant, le recourant n'a pas adressé de déterminations à l’encontre du projet de décision du 30 mars 2020, lequel constatait, sur la base des conclusions des deux expertises psychiatriques diligentées par l'assurance perte de gain en cas de maladie, que le recourant était apte à reprendre son activité habituelle sans aucune limitation fonctionnelle, si bien que le projet de décision a été confirmé par décision du 28 mai 2020. On relèvera encore qu’aucun élément au dossier ne permet d’établir que le recourant aurait été empêché de se déterminer, contrairement à ce qu’il prétend. c) Dans les faits, le recourant cherche, au travers de son argumentation, à remettre en cause la manière dont l'intimé a apprécié sa capacité de travail et évalué son degré d'invalidité dans le cadre de l'examen de sa première demande de prestations. Or, à ce moment précis, le recourant n'ignorait pas qu'il présentait des symptômes de nature somatique qui avaient une influence sur sa capacité de travail. Dans la mesure où les faits déterminants étaient connus à l'époque, le rapport d'expertise du 17 février 2024 ne constitue pas, dans ce contexte, un moyen de preuve nouveau, mais bien plutôt une nouvelle appréciation médicale (cf. TF 8C_797/2011 du 15 février 2012 consid. 5.2). S'il n'était pas d'accord avec la manière dont l'intimé a apprécié sa capacité de travail et évalué son degré d'invalidité, en particulier lorsqu’il lui a fait grief d’avoir violé la maxime inquisitoire, il lui appartenait de recourir</w:t>
      </w:r>
    </w:p>
    <w:p>
      <w:r>
        <w:t>- 12 - contre la décision du 28 mai 2020, en demandant notamment que l'instruction soit complétée. Dans la mesure où il ne l'a pas fait et que cette décision est entrée en force, il est forclos à en remettre en cause le bien-fondé. d) Sur le vu de ce qui précède, on ne peut que constater que l’expertise du 17 février 2024 ne peut pas être prise en considération pour reconnaître l’existence d’un motif de révision procédurale.</w:t>
      </w:r>
    </w:p>
    <w:p>
      <w:r>
        <w:rPr>
          <w:b/>
        </w:rPr>
        <w:t>E. 9</w:t>
      </w:r>
    </w:p>
    <w:p>
      <w:r>
        <w:t>En définitive, les recours, mal fondés, doivent être rejetés et les décisions attaquées confirmées.</w:t>
      </w:r>
    </w:p>
    <w:p>
      <w:r>
        <w:rPr>
          <w:b/>
        </w:rPr>
        <w:t>E. 10</w:t>
      </w:r>
    </w:p>
    <w:p>
      <w:r>
        <w:t>a)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b)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