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ZD25.005726 vom 28. Januar 2026</w:t>
      </w:r>
    </w:p>
    <w:p>
      <w:r>
        <w:t>VD Tribunal cantonal, 2026-01-28, FR</w:t>
      </w:r>
    </w:p>
    <w:p>
      <w:r>
        <w:rPr>
          <w:b/>
        </w:rPr>
        <w:t xml:space="preserve">Quelle: </w:t>
      </w:r>
      <w:r>
        <w:t>https://mcp.opencaselaw.ch/entscheid/vd_gerichte_ZD25.005726</w:t>
      </w:r>
    </w:p>
    <w:p>
      <w:r>
        <w:t>FR: VD_GERICHTE ZD25.005726 du 28 janvier 2026</w:t>
      </w:r>
    </w:p>
    <w:p>
      <w:r>
        <w:t>IT: VD_GERICHTE ZD25.005726 del 28 gennaio 2026</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10J010</w:t>
      </w:r>
    </w:p>
    <w:p>
      <w:r>
        <w:t>- 11 -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w:t>
      </w:r>
    </w:p>
    <w:p>
      <w:r>
        <w:rPr>
          <w:b/>
        </w:rPr>
        <w:t>E. 4</w:t>
      </w:r>
    </w:p>
    <w:p>
      <w:r>
        <w:t>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10J010</w:t>
      </w:r>
    </w:p>
    <w:p>
      <w:r>
        <w:t>- 12 -</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10J010</w:t>
      </w:r>
    </w:p>
    <w:p>
      <w:r>
        <w:t>- 13 -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Les affections psychiques, les affections psychosomatiques et les syndromes de dépendance à des substances psychotropes doivent en principe faire l’objet d’une procédure probatoire structurée (ATF 145 V 215 ; 143 V 418 consid. 6 et 7 ; 141 V 281 et les références).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6</w:t>
      </w:r>
    </w:p>
    <w:p>
      <w:r>
        <w:t>a) En l’espèce, à l’issue de l’examen de la demande de prestations du 16 juillet 2019, l’intimé a reconnu au recourant le droit à une demi-rente d’invalidité dès le 1er janvier 2020. Il s’est, dans ce cadre, essentiellement fondé sur les conclusions de l’expertise du centre C.________, lesquelles ont été confirmées par son service médical. Il a ainsi attesté une capacité de travail nulle dans l’activité habituelle de parqueteur depuis 2017 et de 50 % depuis 2019 dans une activité physiquement légère, qui était adaptée aux limitations fonctionnelles neuropsychologiques (soit pas de tâches requérant un niveau d’exigence élevé), psychiatriques (soit un travail tenant compte de la diminution de l’endurance, de la fatigabilité et des difficultés dans les relations interpersonnelles) et rhumatologiques d’épargne du membre supérieur droit, du rachis et des genoux. Le recourant a, pour sa part, soutenu, en substance, que l’exercice d’une activité adaptée n’était pas exigible au vu de ses 10J010</w:t>
      </w:r>
    </w:p>
    <w:p>
      <w:r>
        <w:t>- 14 - nombreuses atteintes à la santé et des limitations fonctionnelles importantes qui en découlaient. Il n’a cependant pas contesté les conclusions du volet de médecine interne générale de l’expertise. b) Cela étant, rien ne permet de remettre en cause la position des experts du centre C.________. Les points litigieux ont, en effet, fait l’objet d’une étude circonstanciée. A cet égard, ils portaient principalement sur l’évaluation de la capacité de travail. Les atteintes et les limitations fonctionnelles retenues se révélaient, elles, dans l’ensemble, superposables à celles mises en évidence par les médecins traitants. Il apparaît donc que les avis de ces derniers ne constituaient qu’une appréciation différente d’un même état de fait. Les experts ont, en outre, réalisé des examens complets sur la personne du recourant. Le Dr G.________ a ainsi mené les investigations cliniques nécessaires, notamment sur le plan cardiovasculaire. Le Dr H.________ a, lui, procédé aux manipulations des membres et articulations de l’assuré et contrôlé la marche. La Dre A.________, quant à elle, a réalisé – entre autres examens – un entretien approfondi et des analyses complémentaires dans le but d’estimer la gravité de l’anxiété (échelle d’Hamilton) et de la dépression (échelle MADRS [Montgomery-Åsberg depression rating scale]), tout en mesurant les aptitudes du recourant à l’aune de la Mini CIF-APP. Mme D.________, pour sa part, a effectué le bilan neuropsychologique commandé. De surcroît, les plaintes exprimées par le recourant, spécifiquement celles en lien avec ses angoisses et ses douleurs au bras et à l’épaule droits, aux genoux et au rachis, ont été prises en considération par les experts. Ces derniers ont, par ailleurs, établi leur rapport respectif et l’évaluation consensuelle en pleine connaissance du dossier, dont des divers rapports des médecins traitants et des nombreux résultats d’imagerie. Enfin, ils ont décrit et apprécié la situation médicale de manière claire. Leurs conclusions ont été bien motivées et sont dénuées de contradiction. c) aa) Sur ce dernier point, l’expert rhumatologue a exposé que les omalgies avaient pu être diminuées en intensité par l’intervention de janvier 2022. Le recourant était, en revanche, toujours limité dans l’utilisation de son épaule droite, avec une perte de force du membre 10J010</w:t>
      </w:r>
    </w:p>
    <w:p>
      <w:r>
        <w:t>- 15 - supérieur. Dans ces conditions, la capacité de travail dans l’activité habituelle était nulle. L’assuré était néanmoins à même d’exercer à 80 % une activité adaptée à ses limitations fonctionnelles d’épargne du membre supérieur droit, du rachis et des genoux – lesquelles semblaient d’ailleurs cohérentes au vu des douleurs et de la baisse d’amplitude et de force dans le membre supérieur droit –, compte tenu d’une baisse de rendement de 20 % afin de prendre en considération le fait qu’il devait pouvoir se lever et faire quelques pas toutes les heures. bb) Au plan psychiatrique, la Dre A.________ a certifié une capacité de travail résiduelle de 50 % dans n’importe quelle activité, tout en arrêtant des limitations fonctionnelles en lien avec des difficultés portant sur les capacités d’adaptation aux règles et aux routines, les capacités de planification et de structuration des tâches, les capacités d’adaptation du comportement, des réflexions et du vécu aux situations changeantes, les capacités de mise en œuvre des compétences professionnelles, les capacités d’endurance, les capacités d’évolution au sein d’un groupe et les capacités d’exécution d’activités spontanées. Pour parvenir à sa conclusion, elle a procédé à un examen complet des indicateurs de l’ATF 141 V 281 (cf. supra consid. 5d). Elle a, à ce titre, posé le diagnostic de syndrome douloureux somatoforme persistant, à savoir une atteinte qui présente de manière inhérente un degré de gravité (cf. ATF 141 V 281 consid. 2.1.1), tout en notant des douleurs intenses et persistantes au niveau des genoux et de l’épaule, lesquelles étaient disproportionnées par rapport aux atteintes physiques. Elle a également jugé que les symptômes anxieux et dépressifs n’étaient pas suffisamment graves pour justifier un diagnostic de trouble de l’humeur ni un trouble anxieux à part entière (cf. ATF 141 V 281 consid. 4.3.1.1). S’agissant des traitements, elle a ajouté qu’un suivi psychiatrique et psychothérapeutique pouvait être un soutien pour le syndrome douloureux somatoforme persistant et soigner tant le trouble anxieux et dépressif mixte que l’accentuation de certains traits de personnalité. En parallèle, l’assuré pouvait bénéficier d’une prise en charge alcoologique spécialisée. Une coordination des soins psychiatriques et somatiques était, pour le reste, importante. La capacité de travail du point de vue psychiatrique ne pouvait toutefois pas être améliorée à moyen 10J010</w:t>
      </w:r>
    </w:p>
    <w:p>
      <w:r>
        <w:t>- 16 - terme, malgré une éventuelle introduction de telles mesures. Le recourant souffrait d’un état psychique chroniquement « cristallisé » et ses ressources internes étaient faibles. Concernant les mesures de réadaptation, celui-ci n’investissait pas de manière positive une éventuelle reprise professionnelle et disposait des ressources internes faibles face à un changement de profession (cf. ATF 141 V 281 consid. 4.3.1.2). Pour ce qui est des comorbidités, l’experte psychiatre a relevé que le trouble anxieux et dépressif mixte et le syndrome douloureux somatoforme persistant se chevauchaient et s’auto-alimentaient, ce qui avait un impact négatif sur le pronostic pour les soins de cette première atteinte. La consommation importante d’alcool participait, de plus, à la symptomatologie anxieuse (cf. ATF 141 V 281 consid. 4.3.1.3). La Dre A.________ a, au demeurant, écarté tout trouble de la personnalité. Elle a indiqué que les « fonctions complexes du Moi » étaient globalement présentes, même si elles étaient, pour l’heure, diminuées dans leur efficacité en raison des troubles psychiques : le sens de la réalité était conservé ; la capacité à gérer les émotions était maintenue durant l’entretien, même si des antécédents de troubles du contrôle des impulsions avaient été observés par le passé ; l’intentionnalité (c’est-à-dire capacité de se référer à un objet) était, en revanche, affaiblie en raison de la fatigabilité et de l’anxiété liée à l’évolution des douleurs (cf. ATF 141 V 281 consid. 4.3.2). Quant au contexte social, l’experte a mentionné que la recourant bénéficiait d’un soutien important de la part de son épouse et de ses deux enfants et surtout de sa fille, laquelle habitait dans le même bâtiment. Il n’y avait, en conséquence, pas lieu de constater un isolement social, les relations familiales et amicales constituant une ressource claire (cf. ATF 141 V 281 consid. 4.3.3). Au surplus, le recourant avait livré une anamnèse cohérente, en exprimant son désarroi face à ses symptômes physiques et une perte de l’énergie interne, ainsi qu’en éprouvant un sentiment de désespoir. Il ressortait du descriptif de la journée-type que les douleurs l’immobilisaient dans sa vie quotidienne (cf. ATF 141 V 281 consid. 4.4.1). Enfin, le recourant ne bénéficiait actuellement pas d’une prise en charge psychiatrique. Il était, par contre, anosognosique vis-à-vis de sa consommation d’alcool (cf. ATF 141 V 281 consid. 4.4.2). 10J010</w:t>
      </w:r>
    </w:p>
    <w:p>
      <w:r>
        <w:t>- 17 - cc) Du point de vue neuropsychologique, Mme D.________ a certifié une capacité de travail de 50 % dans l’activité habituelle et de 70 % dans une activité adaptée. Elle a justifié son appréciation par le fait que le trouble neuropsychologique d’intensité légère à moyenne diagnostiqué était susceptible d’entraîner une capacité fonctionnelle légèrement limitée au quotidien et moyennement limitée dans le travail ou lors de tâches requérant un niveau d’exigences élevé. dd) Finalement, dans leur évaluation consensuelle, les experts du centre C.________ ont estimé qu’à cause des douleurs chroniques et des limitations d’ordre rhumatologique, l’activité habituelle de parqueteur n’était plus exigible. En revanche, toujours du point de vue rhumatologique, le recourant pouvait théoriquement exercer une activité adaptée respectant ces limitations fonctionnelles, ce moyennant une légère baisse du rendement de 20 %. Sa capacité de travail était cependant entravée au niveau neuropsychologique et psychiatrique. En raison du syndrome douloureux somatoforme persistant, du trouble anxieux et dépressif mixte, de la consommation éthylique et du trouble neuropsychologique léger à moyen, elle s’élevait à 50 % dans une activité adaptée respectant les limitations sur ce plan depuis fin 2018 ou début 2019. d) Au regard de ce qui précède, il sied d’accorder une pleine valeur probante au rapport d’expertise du centre C.________ et, de ce fait, reconnaître au recourant – à l’instar de l’intimé – une incapacité de travail totale dans son ancienne activité et de 50 % dans une activité adaptée à ses limitations fonctionnelles rhumatologiques, psychiatriques et neuropsychologiques, ce à compter de janvier 2019.</w:t>
      </w:r>
    </w:p>
    <w:p>
      <w:r>
        <w:rPr>
          <w:b/>
        </w:rPr>
        <w:t>E. 7</w:t>
      </w:r>
    </w:p>
    <w:p>
      <w:r>
        <w:t>a) Les conclusions de l’expertise précitée ayant été validées, il reste encore à déterminer si le recourant est en droit de prétendre – comme il le soutient – à une rente d’invalidité d’une quotité supérieure à celle dont il bénéficie actuellement, ce en procédant à une comparaison entre les revenus avec et sans invalidité (cf. supra consid. 3b in fine). 10J010</w:t>
      </w:r>
    </w:p>
    <w:p>
      <w:r>
        <w:t>- 18 -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10J010</w:t>
      </w:r>
    </w:p>
    <w:p>
      <w:r>
        <w:t>- 19 - 2021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dd) Selon l’art. 26bis al. 3 RAI – dans sa teneur en vigueur du 1er janvier 2022 au 31 décembre 2023 –, édicté sur la base de l’art. 28a al. 1 LAI, si du fait de l’invalidité, les capacités fonctionnelles de l’assuré au sens de l’art. 49 al. 1bis RAI ne lui permettent de travailler qu’à un taux d’occupation de 50 % ou moins, une déduction de 10 % pour le travail à temps partiel est opéré sur la valeur statistique. Le Tribunal fédéral a estimé que cette disposition réglementaire était contraire au système légal et que, lorsque le revenu avec invalidité est déterminé sur la base de données statistiques, il convient d’examiner également la pertinence d’un éventuel abattement dû à l’atteinte à la santé conformément à la jurisprudence en vigueur avant le 1er janvier 2022 (ATF 150 V 410 consid. 9 et 10). Il y a lieu, en ce sens, de tenir compte de facteurs liés à la personne assurée susceptibles de réduire ses perspectives salariales, tels que l’âge, le handicap, les années de services, la nationalité, le titre de séjour ou le taux d’occupation. Sur la base d’une évaluation globale des effets de ces circonstances sur le revenu d’invalide, la 10J010</w:t>
      </w:r>
    </w:p>
    <w:p>
      <w:r>
        <w:t>- 20 - jurisprudence admet de procéder à une déduction de 25 % au plus (ATF 148 V 174 consid. 6.3 ; 146 V 16 consid. 4.1 ; 126 V 75 consid. 5b/bb-cc), ce y compris l’éventuelle déduction de 10 % pour le travail à temps partiel (lettre circulaire AI n° 445 du 26 août 2024 de l’Office fédéral des assurances sociales [ci-après : l’OFAS]). ee) Selon l’art. 26bis al. 3 RAI dans sa teneur en vigueur dès le 1er janvier 2024, édicté sur la base de l’art. 28a al. 1 LAI, une déduction de</w:t>
      </w:r>
    </w:p>
    <w:p>
      <w:r>
        <w:rPr>
          <w:b/>
        </w:rPr>
        <w:t>E. 10</w:t>
      </w:r>
    </w:p>
    <w:p>
      <w:r>
        <w:t>% est opérée sur la valeur statistique visée à l’al. 2. Si, du fait de l’invalidité, l’assuré ne peut travailler qu’avec une capacité fonctionnelle au sens de l’art. 49 al. 1bis RAI de 50 % ou moins, une déduction de 20 % est opérée. Aucune déduction supplémentaire n’est possible. D’après le chiffre II des dispositions transitoires relatives à la modification du RAI du 18 octobre 2023, pour les rentes en cours à l’entrée en vigueur de la modification du 18 octobre 2023 qui correspondent à un taux d’invalidité inférieur à 70 % et pour lesquelles le revenu avec invalidité a été déterminé sur la base de valeurs statistiques et n’a pas déjà fait l’objet d’une déduction de 20 %,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(al. 1). Aussi, si l’évaluation du degré d’invalidité sur la base des dispositions du RAI dans sa version valable à partir du 1er janvier 2024 entraîne une modification du degré d’invalidité d’au moins 5 points de pourcentage, une modification du système de pension progressif aura lieu (cf. let. b al. 1 des dispositions transitoires modifiant le RAI du 19 juin 2020 ; TF 9C_728/2023 du 4 mars 2024 consid. 5.5). Lorsque l’octroi d’une rente ou d’un reclassement a été refusé avant l’entrée en vigueur de la modification du 18 octobre 2023 parce que le taux d’invalidité était insuffisant, une nouvelle demande n’est examinée que s’il est établi de façon plausible qu’un calcul du taux d’invalidité effectué en application de l’art. 26bis al. 3 RAI pourrait aboutir cette fois à la reconnaissance d’un droit à la rente ou au reclassement (al. 2). 10J010</w:t>
      </w:r>
    </w:p>
    <w:p>
      <w:r>
        <w:t>- 21 - c) aa) In casu, l’intimé a procédé uniquement au calcul du taux d’invalidité pour l’année 2020, soit à la date du début du droit à la rente. Il apparaît cependant qu’il aurait dû réaliser deux calculs distincts, soit l’un pour l’année 2020 et l’autre pour l’année 2024, compte tenu de l’entrée en vigueur du nouvel art. 26bis al. 3 RAI, lequel s’applique également aux rentes calculées selon l’ancien droit (cf. ch. 9201 CIRAI [Circulaire de l’OFAS sur l’invalidité et les rentes dans l’assurance-invalidité, valable dès le 1er janvier 2022] ; cf. supra consid. 7b/ee). A noter, en revanche, qu’un nouveau calcul n’a pas à être effectué pour la période courant du 1er janvier 2022 au 31 décembre 2023, en l’absence de dispositions transitoires en ce sens (cf. supra consid. 7b/dd). bb) S’agissant de la période allant du 1er janvier 2020 au 31 décembre 2023, l’intimé a renoncé à fixer un abattement sur le revenu avec invalidité. Or, conformément à la jurisprudence du Tribunal fédéral, une déduction de 20 % à 25 % sur les données salariales de l’ESS est justifié dans le cas d’un assuré qui ne peut exercer qu’une activité mono-manuelle ou qui est privé de l’usage de sa main dominante (cf. TF 9C_649/2018 du</w:t>
      </w:r>
    </w:p>
    <w:p>
      <w:r>
        <w:rPr>
          <w:b/>
        </w:rPr>
        <w:t>E. 15</w:t>
      </w:r>
    </w:p>
    <w:p>
      <w:r>
        <w:t>janvier 2019 consid. 4.4). Aussi, le recourant – lequel est droitier – est fortement restreint dans l’usage de son bras dominant, dès lors qu’il n’est plus à même d’effectuer des mouvements répétitifs, des mouvements d’élévation antérieure et d’abduction de l’épaule droite supérieurs à 90° et des mouvements de rotation externe et interne de cette articulation, soit des mouvements qui sont souvent exécutés au quotidien. Il appert donc que ces importantes limitations fonctionnelles ne lui permettent pas d’accomplir de manière efficiente un travail nécessitant l’usage de ses deux bras. Dans ces conditions, un abattement de 20 % sur le revenu avec invalidité doit être retenu. Cette réduction se voit, au demeurant, renforcée par le fait que l’assuré est désavantagé en raison de sa capacité de travail limitée à 50 %. En effet, selon la jurisprudence, le critère du taux d’occupation réduit peut être pris en compte pour déterminer l’étendue de l’abattement à opérer sur le salaire statistique d’invalide lorsque le travail à temps partiel se révèle proportionnellement moins rémunéré que le travail à plein temps. Le travail à temps partiel peut ainsi, selon les statistiques, être synonyme d’une perte 10J010</w:t>
      </w:r>
    </w:p>
    <w:p>
      <w:r>
        <w:t>- 22 - de salaire pour les travailleurs de sexe masculin (cf. TF 9C_341/2023 du 29 janvier 2024 consid. 6.1). En revanche, aucun autre élément susceptible d’influer négativement sur les perspectives salariales du recourant ne peut être retenu. En particulier, les activités adaptées à l’état de santé de l’assuré ne requièrent pas de disposer d’une formation particulière. Ce dernier a d’ailleurs pu, par le passé, exercer comme parqueteur dans le bâtiment sans être au bénéfice d’une formation certifiante. Partant, le revenu sans invalidité s’élève à 69'846 fr. 06 par an, lequel correspond au salaire brut – indexé à 2020 – que le recourant aurait pu recevoir, en 2013, en qualité d’ouvrier qualifié selon la convention collective de travail en vigueur (cf. note interne du 10 octobre 2014 de l’intimé). Celui-ci ne conteste, à cet égard, pas ce montant. Le revenu avec invalidité doit, quant à lui, être calculé à l’aune des tableaux TA1_skill_level de l’ESS, l’assuré n’ayant pas repris d’activité lucrative et ne disposant d’aucune formation professionnelle dans une activité adaptée (cf. supra consid. 7b/bb). Ainsi, selon les données pour l’année 2020, le salaire mensuel auquel pouvaient prétendre les hommes dans des activités manuelles simples était de 5'261 fr. pour une semaine de travail de 40 heures. Compte tenu d’une durée hebdomadaire moyenne de travail de 41,7 heures cette année-là dans ce secteur d’activités (cf. Office fédéral de la statistique, Durée normale du travail dans les entreprises selon la division économique [NOGA 2008], en heures par semaine, T 03.02.03.01.04.01), d’une capacité de travail résiduelle de 50 % et d’un abattement de 20 %, le revenu d’invalide annuel se monte à 26'326 fr. 04. La comparaison d’un revenu d’invalide de 26'326 fr. 04 à un revenu sans invalidité de 69'846 fr. 06 aboutit à un degré d’invalidité – arrondi – de 62 %, lequel ouvre le droit à un trois quarts de rente d’invalidité (cf. supra consid. 3b). C’est donc à tort que l’intimé n’a reconnu au recourant que le droit à une demi-rente à partir du 1er janvier 2020. cc) Pour la période débutant le 1er janvier 2024, le revenu sans invalidité – indexé à 2024 – est de 72'167 fr. 85. Le revenu avec invalidité, pour sa part, s’élève à 27'321 fr. 48, eu égard notamment à un salaire 10J010</w:t>
      </w:r>
    </w:p>
    <w:p>
      <w:r>
        <w:t>- 23 - mensuel statistique de 5'305 fr., d’une capacité de travail constante de 50 % et d’un abattement – automatique – de 20 % en vertu de l’art. 26bis al. 3 RAI (dans sa teneur en vigueur dès le 1er janvier 2024 ; cf. supra consid. 7b/ee). Il résulte ainsi de la comparaison de ces deux revenus également un degré d’invalidité de 62 %. Ce dernier restant inchangé, il n’y a pas lieu de réviser le droit à la rente du recourant au 1er janvier 2024 (cf. supra consid. 7b/ee). 8. a) En définitive, le recours, bien fondé, doit être admis. Les décisions rendues les 6 et 14 janvier 2025 par l’intimé sont réformées en ce sens que le recourant a droit à un trois quarts de rente d’invalidité à compter du 1er janvier 2020, à savoir à l’échéance du délai de carence de six mois prévu à l’art. 29 LAI (cf. supra consid. 3c).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