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ZD25.002707 vom 27. Januar 2026</w:t>
      </w:r>
    </w:p>
    <w:p>
      <w:r>
        <w:t>VD Tribunal cantonal, 2026-01-27, FR</w:t>
      </w:r>
    </w:p>
    <w:p>
      <w:r>
        <w:rPr>
          <w:b/>
        </w:rPr>
        <w:t xml:space="preserve">Quelle: </w:t>
      </w:r>
      <w:r>
        <w:t>https://mcp.opencaselaw.ch/entscheid/vd_gerichte_ZD25.002707</w:t>
      </w:r>
    </w:p>
    <w:p>
      <w:r>
        <w:t>FR: VD_GERICHTE ZD25.002707 du 27 janvier 2026</w:t>
      </w:r>
    </w:p>
    <w:p>
      <w:r>
        <w:t>IT: VD_GERICHTE ZD25.002707 del 27 gennaio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10J010</w:t>
      </w:r>
    </w:p>
    <w:p>
      <w:r>
        <w:t>- 11 -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Le taux de 20 % est calculé d’après les principes applicables à la détermination du degré d’invalidité en cas de fixation du droit à la rente (Pratique VSI 2000 p. 63 consid. 2).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 10J010</w:t>
      </w:r>
    </w:p>
    <w:p>
      <w:r>
        <w:t>- 12 - il en découle que le degré d'invalidité minimal exigé par la jurisprudence ne doit être atteint que dans cette part d'activité et non résulter du calcul du degré d'invalidité globale, sauf à admettre que l'accomplissement des travaux habituels peut avoir une influence décisive sur la question de la réadaptation professionnelle (TF 9C_177/2015 du 18 septembre 2015 consid. 4.2 ; 9C_316/2010 du 12 avril 2011 consid. 4.2 ; TFA I 190/01 du 6 décembre 2001 consid. 2b).</w:t>
      </w:r>
    </w:p>
    <w:p>
      <w:r>
        <w:rPr>
          <w:b/>
        </w:rPr>
        <w:t>E. 4.1</w:t>
      </w:r>
    </w:p>
    <w:p>
      <w:r>
        <w:t>; 126 V 75). Selon l’art. 26bis al. 3 RAI (en vigueur depuis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10J010</w:t>
      </w:r>
    </w:p>
    <w:p>
      <w:r>
        <w:t>- 15 -</w:t>
      </w:r>
    </w:p>
    <w:p>
      <w:r>
        <w:rPr>
          <w:b/>
        </w:rPr>
        <w:t>E. 5</w:t>
      </w:r>
    </w:p>
    <w:p>
      <w:r>
        <w:t>a) Le statut d’un assuré est déterminé en fonction de la situation professionnelle dans laquelle il se trouverait s’il n’était pas atteint dans sa santé. L’assuré est réputé exercer une activité lucrative au sens de l’art. 28a al. 1 LAI dès lors qu’en bonne santé, il exercerait une activité lucrative à un taux d’occupation de 100 % ou plus. Il est réputé ne pas exercer d’activité lucrative au sens de l’art. 28a al. 2 LAI dès lors qu’en bonne santé, il n’exercerait pas d’activité lucrative. Il est enfin réputé exercer une activité lucrative à temps partiel au sens de l’art. 28a al. 3 LAI dès lors qu’en bonne santé, il exercerait une activité lucrative à un taux d’occupation de moins de 100 % (art. 24septies RAI). b)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10J010</w:t>
      </w:r>
    </w:p>
    <w:p>
      <w:r>
        <w:t>- 13 -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 28a al. 3 LAI et 27bis RAI). c) aa)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 10J010</w:t>
      </w:r>
    </w:p>
    <w:p>
      <w:r>
        <w:t>- 14 - bb)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cc)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7</w:t>
      </w:r>
    </w:p>
    <w:p>
      <w:r>
        <w:t>En l’espèce, l’intimé s’est fondé sur les conclusions de l’expertise du F.________ pour retenir que la recourante présente une capacité de travail nulle dans son ancienne activité, mais entière dans une 10J010</w:t>
      </w:r>
    </w:p>
    <w:p>
      <w:r>
        <w:t>- 16 - activité adaptée. La recourante conteste quant à elle disposer d’une capacité de travail résiduelle. a) Il y a lieu de constater que sur le plan formel, l’expertise du F.________ ne prête pas le flanc à la critique. Les experts ont procédé à une étude circonstanciée du cas sur la base des rapports médicaux versés au dossier. Ils ont tenu compte des plaintes et déclarations de la recourante, ont décrit son quotidien et établi une anamnèse détaillée sur les plans familial, personnel, socio-professionnel et médical. L’évaluation consensuelle tient compte de l’ensemble des éléments, repose sur les constatations objectives faites par chaque spécialiste et tient compte des ressources de la recourante et de ses limitations fonctionnelles. Les conclusions de l’expertise sont par ailleurs claires et motivées. b) Sur le plan de la médecine interne, l’expert du F.________ a conclu à l’absence d’atteinte à la santé incapacitante. II a notamment observé que la recourante était connue pour une sténose aortique et une maladie de Crohn qui entraînaient des limitations fonctionnelles (pas de travaux sollicitant une intensité cardio-vasculaire modérée ou élevée ou des ports de charges lourdes, et activité à proximité des toilettes) mais que ces dernières étaient compatibles avec la poursuite de l’activité habituelle. Les conclusions de l’expert interniste sont en adéquation avec les autres pièces du dossier, étant rappelé qu’aucun des médecins ayant examiné la recourante n’a attesté une incapacité de travail pour des atteintes relevant de la médecine interne. c) Sur le plan rhumatologique, l’expert du F.________ a observé que la recourante se plaignait de douleurs lombaires aiguës en barre, sans irradiation au niveau du rachis ni dans les membres inférieurs. Les douleurs étaient également nocturnes et la réveillaient au moins une fois par nuit. Au lever, il y avait un dérouillage d’environ 10 à 15 minutes. Le périmètre de marche était d’environ 1 heure. La recourante signalait en outre que la position assise ne pouvait être maintenue que pendant 15 minutes, de même que la station debout. Elle avait parfois une douleur dans l’aine à droite, ce qui avait motivé la réalisation de radiographies des hanches qui 10J010</w:t>
      </w:r>
    </w:p>
    <w:p>
      <w:r>
        <w:t>- 17 - s’étaient révélées normales. Elle signalait aussi avoir quelquefois une douleur au pied gauche vers le tendon d’Achille. A l’examen du rachis, l’expert a observé une cyphose dorsale et une accentuation de la lordose lombaire. La distance mains/sols était à 48 cm avec un test de Schober à +3. L’inclinaison à droite et à gauche était à 80 cm et la rotation globale du rachis était à 80 degrés. L’examen cervical était normal. A la palpation, il était retrouvé une douleur lombaire, surtout latéralisée du côté gauche, sans signe de la sonnette. Il n’y avait pas de signe évoquant l’existence d’une pathologie inflammatoire rhumatologique. L’expert a noté que les prises de sang effectuées régulièrement n’avaient montré aucun syndrome inflammatoire ni aucun anticorps présent pour une maladie de type polyarthrite ou maladie auto-immune. L’état de la recourante ne répondait pas non plus aux critères d’une spondylarthropathie. L’expert rhumatologue a retenu le diagnostic de lombalgies sur réaction inflammatoire L1-L2 et L2- L3 Modic 1. Il a observé une bonne cohérence entre les constatations objectives faites lors de l’expertise et les constatations radiologiques. Il s’étonnait toutefois de l’importance des plaintes de la recourante au regard de l’atteinte dégénérative bénigne sans compression disco-radiculaire. Il a conclu à une incapacité de travail nulle depuis novembre 2022 dans l’activité habituelle, mais à une pleine capacité de travail dans toute activité adaptée aux limitations fonctionnelles suivantes : pas d’effort de soulèvement au-delà de 5 kg à partir du sol, port de charge proche du corps limité à 5 kg, éviter les positions en porte-à-faux du buste, éviter le piétinement prolongé et privilégier les changements de position réguliers. d) Les critiques de la recourante et les autres pièces versées au dossier ne sont pas de nature à mettre en doute les conclusions de l’expert rhumatologue du F.________. A cet égard, il peut être observé que les diagnostics posés par les médecins traitants de la recourante rejoignent ceux posés par l’expert rhumatologue. Il en va de même des limitations fonctionnelles induites par le trouble lombaire, étant rappelé que les limitations retenues par les Drs K.________, G.________ et M.________ ont trait à la position assise et debout statique prolongée et que ces derniers n’ont pas fait état de limitations plus importantes que celles retenues dans le rapport d’expertise du F.________. Par ailleurs, aucun de ces médecins 10J010</w:t>
      </w:r>
    </w:p>
    <w:p>
      <w:r>
        <w:t>- 18 - n’explique pour quel motif la recourante ne pourrait pas exercer une activité professionnelle adaptée à ses limitations fonctionnelles d’épargne du dos. Ainsi, les rapports peu étayés des médecins traitants, qui ne font pas état d’éléments objectifs qui auraient été ignorés par l’expert du F.________, ne suffisent pas à remettre en question les conclusions de l’expert rhumatologue du F.________ relatives à une pleine capacité de travail dans une activité adaptée. C’est également en vain que la recourante se prévaut des pièces du dossier qui mentionnent que la station debout ou assise ne peut être tenue que 5 à 10 minutes. Une telle durée semble correspondre davantage aux déclarations tenues par la recourante qu’aux constatations objectives faites par les médecins ayant examiné la prénommée. Du reste, d’autres éléments du dossier font état de la possibilité de rester en position statique assise ou debout pendant une durée plus longue (cf. notamment le rapport du Dr M.________ du 18 octobre 2023 qui mentionne une durée de 15-20 minutes ; le rapport d’expertise du F.________ qui indique que la recourante a conduit sa voiture sans arrêt pendant 50 minutes pour se rendre à l’expertise). Relevons encore que les experts du F.________ ont rendu leur appréciation en tenant compte non seulement des déclarations de la recourante, mais aussi des constatations objectives et des ressources de la prénommée. Enfin, la conclusion de l’expert rhumatologue concernant l’incapacité de travail totale dans l’activité habituelle est parfaitement cohérente avec les limitations fonctionnelles retenues par lui. La recourante ne peut être suivie lorsqu’elle soutient que les limitations fonctionnelles mentionnées dans le rapport d’expertise du F.________ seraient compatibles avec l’activité qu’elle exerçait auprès de son dernier employeur. Ce poste de travail, qui s’exerçait en position assise majoritairement et qui impliquait des mouvements répétitifs du haut du corps et le port et le soulèvement de charges pouvant aller jusqu’à 10 kg (cf. questionnaire pour l’employeur du 31 mars 2023) est incompatible avec la nécessité de privilégier les changements de position réguliers, d’éviter les positions en porte-à-faux du buste et le port de charges au-delà de 5 kg. A noter que l’argumentation de 10J010</w:t>
      </w:r>
    </w:p>
    <w:p>
      <w:r>
        <w:t>- 19 - la recourante conduirait à lui reconnaître une pleine capacité de travail dans son activité habituelle puisque celle-ci serait adaptée à ses limitations fonctionnelles, et partant à lui nier toute invalidité. e) En définitive, c’est à juste titre que l’intimé a constaté que la recourante présente une incapacité de travail totale dans son ancienne activité depuis le 18 novembre 2022 mais qu’elle conserve une capacité de travail entière dans toute activité adaptée aux limitations fonctionnelles mentionnées dans la décision attaquée.</w:t>
      </w:r>
    </w:p>
    <w:p>
      <w:r>
        <w:rPr>
          <w:b/>
        </w:rPr>
        <w:t>E. 8</w:t>
      </w:r>
    </w:p>
    <w:p>
      <w:r>
        <w:t>La recourante soutient qu’une éventuelle capacité de travail résiduelle ne pourrait pas être mise en œuvre sur le marché du travail en raison notamment de son âge, de ses limitations fonctionnelles et de son parcours professionnel. a) Pour évaluer le taux d’invalidité, l’art. 16 LPGA se réfère à l’activité qui peut encore raisonnablement être exigée sur un marché du travail équilibré. Cette notion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10J010</w:t>
      </w:r>
    </w:p>
    <w:p>
      <w:r>
        <w:t>- 20 - situation sociale, de ses capacités d'adaptation à un nouvel emploi, du salaire et des contributions patronales à la prévoyance professionnelle obligatoire, ainsi que de la durée prévisible des rapports de travail (ATF 145 V 2 consid. 5.3.1 ;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146 V 16 consid. 7.1 ; 145 V 2 consid. 5.3.1 ; 138 V 457 consid. 3.1). b) En l’espèce, l’exigibilité de l’exercice d’une activité adaptée a été constatée dans le rapport d’expertise du F.________ du 8 mai 2024. A cette date, la recourante était âgée de 59 ans et n’avait pas atteint l'âge à partir duquel le Tribunal fédéral reconnaît généralement que ce facteur peut être déterminant et nécessite une approche particulière. Pour le surplus, les limitations fonctionnelles retenues permettent l’accomplissement de toutes sortes de travaux légers ne requérant pas de formation. La recourante doit donc être considérée comme étant en mesure de mettre en valeur sa capacité résiduelle de travail sur le marché équilibré de l’emploi.</w:t>
      </w:r>
    </w:p>
    <w:p>
      <w:r>
        <w:rPr>
          <w:b/>
        </w:rPr>
        <w:t>E. 9</w:t>
      </w:r>
    </w:p>
    <w:p>
      <w:r>
        <w:t>Il reste à examiner le degré d’invalidité. a) L’intimé a retenu que la recourante avait un statut d’active à 73 % et de ménagère à 27 %, ce qui ne prête pas le flanc à la critique. b) Pour calculer le degré d’invalidité relative à la part active, il a pris en compte un revenu sans invalidité de 54'742 fr. 45 (pour un taux d’activité de 100 %) qui correspond aux indications fournies par le dernier employeur de la recourante. Ce montant n’est pas critiqué, à juste titre. 10J010</w:t>
      </w:r>
    </w:p>
    <w:p>
      <w:r>
        <w:t>- 21 - Pour le revenu avec invalidité, c’est à juste titre que l’intimé s’est basé sur les données salariales statistiques de l’ESS 2022, plus particulièrement sur le revenu de 4'367 fr. auquel peuvent prétendre les femmes pour des activités simples et répétitives dans les domaines de la production et des services (ESS 2022, tableau TA1_skill_level, niveau de compétence 1). Ce montant doit être porté à 4’552 fr. 60 pour prendre en considération la durée hebdomadaire du travail de 41,7 heures dans les entreprises en 2022. Après indexation à l’année 2023 (+ 1,8 % au lieu de + 0,8 % retenu dans la décision attaquée ; cf. tableau T39 « Evolution des salaires nominaux, des prix à la consommation et des salaires réels 2010- 2024 »), le revenu avec invalidité de la recourante est de 55'614 fr. 53. Après l’abattement de 10 % opéré par l’intimé pour tenir compte de l’âge et des limitations fonctionnelles de la recourante, qui peut être confirmé au vu des circonstances du cas d’espèce, le revenu sans invalidité s’élève à 50'053 fr. 08. Le taux d’empêchement économique est donc de 8.57 % ([54'742,45 – 50'053,08] / 54'742,45 x 100) et le degré d’invalidité pour la part active est de 6.26 %. c) L’intimé a renoncé à établir une évaluation économique sur le ménage au motif que les empêchements ménagers de la recourante n’engendreraient pas un degré d’invalidité suffisant pour ouvrir le droit à une rente d’invalidité. La recourante conteste cette façon de procéder et invoque une violation de la maxime inquisitoire. Or, comme l’a observé l’intimé, même en retenant des empêchements dans l’accomplissement des travaux habituels à hauteur de 100 %, il en résulterait un degré d’invalidité inférieur au seuil de 40 % ouvrant le droit à une rente. Par ailleurs, au vu des limitations fonctionnelles de la recourante, il ne fait aucun doute qu’elle est capable d’effectuer l’essentiel des tâches ménagères. Il ressort d’ailleurs du rapport d’expertise de la Dre E.________ et du rapport d’expertise du F.________ que la prénommée réalise toutes les tâches ménagères, à l’exception des courses lourdes pour lesquelles elle est accompagnée par son conjoint ou son fils (cf. rapport d’expertise du 10J010</w:t>
      </w:r>
    </w:p>
    <w:p>
      <w:r>
        <w:t>- 22 - F.________, p. 11 ; rapport d’expertise de la Dre E.________, p. 331 du dossier AI). Au vu des circonstances, l’intimé pouvait raisonnablement partir du principe que les empêchements ménagers de la recourante ne permettraient pas d’ouvrir le droit à une rente d’invalidité et renoncer à procéder à une enquête ménagère qui n’était pas nécessaire à l’examen des prestations de l’assurance-invalidité, étant rappelé que les empêchements ménagers n’ont pas d’incidence sur le droit à des mesures d’ordre professionnel (consid. 4c supra). d) En conclusion, le degré d’invalidité de la recourante est inférieur au seuil de 40 % ouvrant le droit à une rente d’invalidité et au seuil de 20 % ouvrant le droit à une mesure de reclassement. Le refus de l’intimé d’octroyer une rente d’invalidité et des mesures d’ordre professionnel est conforme au droit.</w:t>
      </w:r>
    </w:p>
    <w:p>
      <w:r>
        <w:rPr>
          <w:b/>
        </w:rPr>
        <w:t>E. 10</w:t>
      </w:r>
    </w:p>
    <w:p>
      <w:r>
        <w:t>En définitive, le recours, mal fondé, doit être rejeté et la décision entreprise confirmée.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