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ZD25.001176 vom 26. Juni 2025</w:t>
      </w:r>
    </w:p>
    <w:p>
      <w:r>
        <w:t>VD Tribunal cantonal, 2025-06-26, FR</w:t>
      </w:r>
    </w:p>
    <w:p>
      <w:r>
        <w:rPr>
          <w:b/>
        </w:rPr>
        <w:t xml:space="preserve">Quelle: </w:t>
      </w:r>
      <w:r>
        <w:t>https://mcp.opencaselaw.ch/entscheid/vd_gerichte_ZD25.001176</w:t>
      </w:r>
    </w:p>
    <w:p>
      <w:r>
        <w:t>FR: VD_GERICHTE ZD25.001176 du 26 juin 2025</w:t>
      </w:r>
    </w:p>
    <w:p>
      <w:r>
        <w:t>IT: VD_GERICHTE ZD25.001176 del 26 giugno 2025</w:t>
      </w:r>
    </w:p>
    <w:p>
      <w:pPr>
        <w:pStyle w:val="Heading2"/>
      </w:pPr>
      <w:r>
        <w:t>Erwägungen</w:t>
      </w:r>
    </w:p>
    <w:p>
      <w:r>
        <w:rPr>
          <w:b/>
        </w:rPr>
        <w:t>E. 31</w:t>
      </w:r>
    </w:p>
    <w:p>
      <w:r>
        <w:t>décembre 2021. Si elle est postérieure au 1er janvier 2022, la situation est régie par les nouvelles dispositions légales et réglementaires en vigueur dès le 1er janvier 2022. En l’espèce, la recourante a déposé sa demande d’allocation pour impotent en octobre 2023, en alléguant un besoin d’aide en relation avec une atteinte rhumatologique existant depuis 2016. Tant l’ancien que le nouveau droit prévoient que le droit à l’allocation naît lorsqu’une impotence de degré faible au moins existe depuis une année sans interruption notable (art. 42 al. 4 LAI, dont le texte a été seulement reformulé dans le cadre de la modification législative) et un droit au paiement des arriérés de prestations pour les douze mois précédant le dépôt de la demande en cas de dépôt tardif (art. 48 al. 1 LAI, non modifié). S’agissant de la recourante, le droit éventuel à l’allocation pouvait donc prendre naissance en octobre 2022 au plus tôt, de sorte que le droit en vigueur depuis le 1er janvier 2022 est applicable. On peut encore relever que, s’agissant des directives établies par l’Office fédéral des assurances</w:t>
      </w:r>
    </w:p>
    <w:p>
      <w:r>
        <w:t>- 12 - sociales (OFAS) à l’intention des offices AI cantonaux, la Circulaire sur l’invalidité et l’impotence dans l’assurance-invalidité du 1er janvier 2015 (CIIAI) a été remplacée par la Circulaire sur l’impotence du 1er janvier 2022 (CSI), laquelle donne davantage de précisions. Le droit matériel ayant subi peu de modifications, il pourra, cas échéant, être fait référence aux deux circulaires. 3. Dans un grief de nature formelle, la recourante s’est plainte d’une violation de son droit d’être entendue et du principe d'égalité des armes et du droit à une double instance.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En l’occurrence, la recourante fait grief à l’intimé de ne pas lui avoir octroyé une seconde prolongation pour compléter ses observations à l’encontre du projet de décision du 4 septembre 2024, faisant fi des difficultés que peuvent rencontrer les assurés pour obtenir un rapport médical. Cette argumentation tombe à faux. L’art. 57a LAI dispose qu’un préavis doit être adressé à l’assuré avant de rendre une décision finale portant sur une demande de prestations (al. 1), sur laquelle il peut faire part de ses observations dans un délai de trente jours (al. 3). Comme</w:t>
      </w:r>
    </w:p>
    <w:p>
      <w:r>
        <w:t>- 13 - l’a relevé l’intimé en refusant la seconde demande de prolongation présentée par la recourante, le délai de l’art. 57a al. 3 LAI est un délai légal non prolongeable, conformément à l’art. 40 al. 1 LPGA. Le Tribunal fédéral l’a confirmé à plusieurs reprises, en rappelant par ailleurs que le droit de faire administrer des preuves n'empêchait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notamment TF 9C_222/2024 du 24 juin 2024 consid. 5.2.1 et les références citées). Dans le cas présent, l’intimé a adressé son préavis à la recourante le 4 septembre 2024, en mentionnant d’emblée la possibilité de déposer des objections dans les trente jours, ainsi que le caractère non- prolongeable de ce délai, sous réserve d’un « court et unique délai supplémentaire » en cas de « raisons pertinentes ». La recourante a fait part de ses objections le 10 octobre 2024 et a requis une prolongation de délai pour les compléter une fois que son dossier lui aurait été communiqué. Le 15 octobre 2024, l’intimé lui a adressé une copie du dossier et a fixé un nouveau délai au 20 novembre 2024 pour étayer ses objections, en précisant qu’aucune nouvelle prolongation ne serait accordée. Cependant, le 19 novembre 2024, la recourante a sollicité un délai supplémentaire en exposant uniquement qu’elle était dans l’attente d’un rapport du Dr G.________. Cela étant, il n'apparaît pas que l’intimé ait violé le droit d’être entendue de la recourante en mettant fin à la procédure après lui avoir donné l’occasion de compléter ses objections ensuite de la consultation du dossier de la cause, en l’absence de tout commentaire ou argumentation de sa part sur la décision contestée ou sur les éléments médicaux figurant déjà au dossier. Au demeurant, comme l’a également rappelé le Tribunal fédéral dans ce contexte précis, même à supposer que l’intimé ait violé le droit d’être entendu de l’assurée en refusant une seconde prolongation, cette violation peut être guérie devant la juridiction cantonale, qui est dotée d’un plein pouvoir d’examen (cf. TF 9C_222/2024 précité ; 9C_453/2023 du 3 mai 2024 consid. 5.2 ; 9C_6/2024 du 27 mai 2024</w:t>
      </w:r>
    </w:p>
    <w:p>
      <w:r>
        <w:t>- 14 - consid. 4.2). En effet, le rapport annoncé dans son courrier du 19 novembre 2024 a été versé au dossier de l’intimé le 20 décembre 2024. Bien qu’elle ne l’ait pas joint à son recours, l’intéressée s’est référée à ce rapport à l’appui de ses conclusions en réforme et il figure dans les pièces remises par l’intimé. Ainsi, une hypothétique violation du droit d’être entendue de la recourante devrait en tous les cas être considérée comme réparée. c) La recourante prétend encore que l'absence de prolongation du délai pour compléter ses objections et produire ses pièces constituerait une violation du principe d'égalité des armes. Dans la mesure où elle a toutefois disposé d'un délai suffisant – à savoir plus de deux mois et demi – pour formuler ses objections et produire d'éventuels avis médicaux remettant en cause l'appréciation de l'intimé, on ne distingue pas en quoi le principe d'égalité des armes aurait été violé, la recourante ne l'exposant d'ailleurs pas, au-delà de considérations toutes générales. Il en va de même du principe de la double instance, dont la recourante – dûment représentée par un mandataire professionnel – ne précise aucunement en quoi il aurait été violé en l'espèce, se contentant d'évoquer ce principe sans autres explication. Les critiques de la recourante doivent donc être écartées.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dès le 1er janvier 2022) prévoit qu'est aussi considérée comme impotente la personne vivant chez elle qui, en raison d’une atteinte à sa santé, a durablement besoin d’un accompagnement lui permettant de faire face aux nécessités de la vie. Si l’atteinte à la santé est uniquement psychique,</w:t>
      </w:r>
    </w:p>
    <w:p>
      <w:r>
        <w:t>- 15 - la personne n’est réputée impotente que si elle a droit à une rente. Si une personne n’a durablement besoin que d’un accompagnement pour faire face aux nécessités de la vie, l’impotence est réputée faible. L’art. 42bis al. 5 est réservé.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5.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w:t>
      </w:r>
    </w:p>
    <w:p>
      <w:r>
        <w:t>- 16 - faire face aux nécessités de la vie (TF 9C_425/2014 du 26 septembre 2014 consid. 4.1). b)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(cf. ch. 2098 CSI ; ch. 8040 CIIAI). c) L'accompagnement est régulier lorsqu'il est nécessaire en moyenne au moins deux heures par semaine sur une période de trois mois (ch. 2093 CSI ; ch. 8053 CIIAI). Le Tribunal fédéral a reconnu que cette notion de la régularité était justifiée d’un point de vue matériel et partant conforme aux dispositions légales et réglementaires (ATF 133 V 450 consid. 6.2).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sans être lié par des règles formelles, en</w:t>
      </w:r>
    </w:p>
    <w:p>
      <w:r>
        <w:t>- 17 -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c) Fondés sur les art. 54a LAI et 49 al. 1 et 3 RAI, les avis médicaux du SMR ont pour fonction d’opérer la synthèse des renseignements médicaux versés au dossier et de prodiguer des recommandations quant à la suite à donner au dossier sur le plan médical. Par leur nature, ils n’impliquent pas d’examen clinique. Ils ont seulement</w:t>
      </w:r>
    </w:p>
    <w:p>
      <w:r>
        <w:t>- 18 -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9C_647/2020 du 26 août 2021 consid. 4.2 ; TF 9C_10/2017 du 27 mars 2017 consid. 5.1 et les références). 7. a) En l’espèce, la recourante a sollicité une allocation pour impotent en lien avec l’atteinte rhumatologique dont elle souffre depuis 2016. Il est constant que sa demande portait uniquement sur une allocation pour impotent de degré faible et qu’elle était motivée par un besoin d’accompagnement pour faire face aux nécessités de la vie au sens de l’art. 38 al. 1 let. a RAI, en lien avec la tenue de son ménage. L’intimé a nié l’existence d’un tel besoin en l’absence d’éléments médicaux objectifs ou de limitations fonctionnelles renseignées venant soutenir la demande. Cette décision était fondée en particulier sur l’avis du SMR du 30 août 2024, lequel se prononçait sur les questionnaires médicaux complétés par les Drs F.________ et Q.________, respectivement médecin généraliste et rhumatologue traitants de la recourante. L’intimé disposait par ailleurs du dossier constitué dans le cadre des précédentes demandes de la recourante portant sur le droit à la rente ou à des mesures professionnelles. b) S’agissant du Dr Q.________, il convient de relever que ce médecin a repris le suivi rhumatologique de la recourante en fin d’année 2022, après le départ en retraite du Dr G.________. Contacté une première fois par l’OAI à cette époque, le Dr Q.________ avait renoncé à se positionner sur le caractère invalidant des atteintes rhumatologiques de la recourante au motif qu’il ne l’avait vue qu’une seule fois. La demande d’allocation pour impotent est intervenue une année plus tard et le Dr Q.________ a accepté de donner un avis en décembre 2023. Il a</w:t>
      </w:r>
    </w:p>
    <w:p>
      <w:r>
        <w:t>- 19 - cependant indiqué qu’il n’y avait pas de limitation fonctionnelle notable et que la recourante ne présentait aucun besoin relevant de l’impotence. Les conclusions du Dr F.________ diffèrent légèrement, puisque ce médecin a validé un besoin d’aide pour les tâches ménagères. S’il a mentionné dans la rubrique relative aux diagnostics les atteintes rhumatologiques qui ont fait l’objet des demandes de rente et/ou mesures, le médecin généraliste traitant n’a cependant pas décrit de limitation fonctionnelle. Sur ce point, il s’est limité à renvoyer aux pièces jointes, lesquelles faisaient seulement état d’une lésion minime au niveau du 3e métatarse gauche et d’une rhinite en cours d’amélioration. L’attestation établie par ce même médecin le 15 novembre 2023 ne comportait pas de plus amples explications. En conséquence, il est manifeste que le médecin généraliste traitant n’a pas fait état d’éléments médicaux objectifs ni décrit de limitations fonctionnelles à l’appui du besoin d’aide pour les tâches ménagères allégué. Ainsi, c’est à juste titre que la Dre S.________ du SMR a constaté dans son avis du 30 août 2024 l’absence d’élément médical objectif soutenant un besoin d’accompagnement. c) Dans un premier moyen, la recourante a fait grief à l’intimé de ne pas avoir mis en œuvre une expertise médicale, face aux rapports contradictoires des médecins traitants. On ne peut la suivre sur ce point. En effet, le Dr F.________ s’est limité à valider un besoin d’aide pour les tâches ménagères sans autre commentaire alors qu’il était clairement invité à le faire dans le questionnaire médical soumis par l’intimé. Il a encore établi le 15 novembre 2023, une attestation par laquelle il déclarait « volontiers » attester que sa patiente n’était pas apte à effectuer ses tâches ménagères en raison de son état de santé physique, sans autre détail. Compte tenu de l’absence de motivation objectivé médicalement et de l’influence manifeste du lien thérapeutique noué avec la recourante depuis 2016 à tout le moins, ces deux écrits du Dr F.________ ne pouvaient se voir</w:t>
      </w:r>
    </w:p>
    <w:p>
      <w:r>
        <w:t>- 20 - attribuer la moindre valeur probante. Ainsi, il n’apparaît pas que l’intimé, respectivement le SMR, ait été confronté à des avis médicaux contradictoires nécessitant d’être départagés par une expertise indépendante. d) La recourante a également déploré l’absence de mise en œuvre d’une enquête à domicile sur l’impotence. A cet égard, il convient de relever que, de jurisprudence constante, un rapport d’enquête à domicile portant sur l’évaluation de l’impotence doit être élaboré par une personne qualifiée qui a connaissance de la situation locale et spatiale, ainsi que des empêchements et des handicaps résultant des diagnostics médicaux (cf. notamment TF 9C_235/2024 du 30 juillet 2024 consid. 5.2, et les références citées). Ces exigences ont pour corollaire qu’en l’absence d’empêchements documentés appuyant le besoin d’aide allégué, il est prématuré de mettre en œuvre une telle enquête. Comme relevé ci-dessus, les rapports médicaux récoltés après le dépôt de la demande d’allocation pour impotent n’attestaient pas d’empêchements médicaux à l’accomplissement par la recourante de tâches ménagères. Certes, il a été documenté dès 2016 et admis par l’intimé dans sa décision du 13 juin 2019 ainsi qu’au cours des procédures ultérieures, que la recourante présentait des atteintes d’ordre rhumatologique entraînant diverses limitations fonctionnelles rendant définitivement inexigible l’activité professionnelle d’employée de restaurant qu’elle a exercée jusqu’en janvier 2016. Ces éléments, concernant l’exercice d’une activité professionnelle déterminée, ne signifient pas encore que la recourante n’est pas en mesure d’entretenir son propre ménage. A plus forte raison que, sous réserve de deux périodes d’incapacité totale, de janvier 2016 à juin 2017 et de septembre 2021 à octobre 2022, l’intimé a retenu que la recourante présentait une capacité de travail entière dans une activité adaptée à son état de santé. Par ailleurs, bien que représentée par un avocat, l’intéressée ne s’est pas positionnée sur le rapport du Dr Q.________ de décembre 2023 dans le</w:t>
      </w:r>
    </w:p>
    <w:p>
      <w:r>
        <w:t>- 21 - délai – prolongé à sa demande – pour faire valoir ses objections au projet de décision. Les deux écritures adressées à l’intimé durant cette procédure ne comportaient pas même la description des difficultés dans l’accomplissement de ses tâches ménagères qui l’avaient amenée à déposer sa demande d’allocation. L’obligation d’instruire incombant à l’administration en vertu de l’art. 43 al. 1 LPGA trouve sa limite dans l’obligation de la partie d’apporter les faits dont elle entend déduire un droit, découlant de son obligation de collaborer à l’instruction. Il faut en conséquence constater que l’intimé n’avait aucune raison de mettre en œuvre une enquête à domicile avant de rendre la décision objet du présent recours. e) La recourante a finalement allégué, au stade du recours, que son besoin d’aide concernait les courses, le changement des draps de lit et la lessive. Elle n’a cependant pas précisé si la demande d’aide- ménagère auprès d’un CMS, mentionnée dans sa demande d’allocation, avait abouti, ni le nombre d’heures dont elle estimait avoir besoin. Elle s’est principalement fondée sur un rapport établi le 1er décembre 2024 par le Dr G.________, dont un paragraphe est consacré à la question de l’accomplissement des tâches ménagères. aa) L’intimé a soumis le rapport précité au SMR, qui a relevé certaines lacunes dans l’examen clinique et a conclu à l’absence de modification des limitations fonctionnelles au regard des rapports établis par ce même médecin en 2021, mais n’a pas commenté la problématique en lien avec les tâches ménagères. Cela étant, il convient d’emblée de relever, à l’instar du SMR, que le Dr G.________ ne peut être considéré comme un expert puisqu’il a été le rhumatologue traitant de la recourante durant plusieurs années. On observe par ailleurs que le Dr G.________ a décrit des restrictions plus importantes dans l’accomplissement des tâches ménagères que dans le contexte de l’exercice d’une activité professionnelle. Il a ainsi mentionné en lien avec les tâches ménagères, notamment, un port de charge limité à 4 kg, une limitation de la marche à 45 minutes et la nécessité de se caler au plan de travail pour laver la vaisselle. En revanche, dans sa description des limitations fonctionnelles, il</w:t>
      </w:r>
    </w:p>
    <w:p>
      <w:r>
        <w:t>- 22 - a retenu une limite de port de charge de 5 kg, une limite de la marche d’une à deux heures et une limite à la position statique debout de 20 minutes. Il est manifeste que, sur l’accomplissement des tâches ménagères, le Dr G.________ a simplement rapporté les plaintes de la recourante, sans les confronter au status clinique ni même aux limitations fonctionnelles qu’il venait de décrire. Dans ces conditions, il n’est pas possible d’accorder une quelconque valeur probante à ce passage du rapport du Dr G.________. A cela s’ajoute que les plaintes relayées par le Dr G.________ ne vont pas dans le sens d’impossibilités rédhibitoires dans l’accomplissement des tâches ménagères. Le fait que certains gestes provoquent des douleurs ne suffit pas encore à considérer qu’ils ne peuvent ou ne doivent pas être accomplis. Le rhumatologue retraité a d’ailleurs conclu que les tâches légères – sans toutefois préciser lesquelles – étaient « effectuables, de manière fractionnée et en respectant bien sûr les limitations fonctionnelles ». bb) S’agissant des besoins finalement décrits par la recourante, ils amènent les remarques suivantes s’agissant des autres conditions posées par l’art. 38 al. 1 RAI, à savoir l’existence même d’un besoin d’aide, le risque d’abandon ou de placement en institution, ainsi que le caractère régulier du besoin. La recourante allègue d’abord un besoin d’aide pour faire ses courses. Dès lors qu’elle est domiciliée dans un centre urbain bien desservi par les transports publics, les limites de marche mentionnées par le Dr G.________ n’ont manifestement pas d’incidence particulière. Les limites de port de charge peuvent également être résolues par le biais de mesures simples à mettre en place, telles que le fractionnement des achats, l’utilisation d’un chariot à roulette ou encore la livraison à domicile. Concernant la lessive, le ch. 2098.1 CSI mentionne que les exigences minimales en la matière sont de pouvoir faire une lessive deux fois par mois, comprenant le fait d’utiliser la machine, la charger et la vider, plier et ranger le linge, mais non le repassage ou le raccommodage.</w:t>
      </w:r>
    </w:p>
    <w:p>
      <w:r>
        <w:t>- 23 - Dans ce contexte, il convient de relever que la recourante a allégué un empêchement lié à ses limitations de mouvements au niveau du tronc sans plus amples explications, tandis que le rapport du Dr G.________ est muet sur cette question. Il n'existe ainsi aucun élément objectivant un besoin d’aide dans ce domaine. Quant au changement des draps de lit, il ne s’agit pas d’une tâche nécessitant une aide régulière et importante. f) En conséquence, il faut constater que les conditions d’octroi d’une allocation pour impotent ne sont pas remplies. 8. 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En l’occurrence, le recours est manifestement mal fondé. En effet, l’intimé a rendu sa décision sur la base des rapports médicaux établis par les médecins traitants. Ceux-ci ne soutenant pas la démarche de la recourante, celle-ci s’est tournée vers son ancien rhumatologue traitant, le Dr G.________, dont les remarques à l’appui du besoin d’accompagnement allégué étaient clairement dépourvues de valeur probante. Ainsi, le recours doit être rejeté en application de l’art. 82 LPA- VD et la décision attaquée confirmée, sans autre échange d’écriture. b)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caractère manifestement mal fondé du présent recours et son défaut prévisible de chance de succès commandent le rejet de l’assistance judiciaire (art. 61 let. f LPGA), indépendamment de la situation financière dans laquelle se trouve la recourante.</w:t>
      </w:r>
    </w:p>
    <w:p>
      <w:r>
        <w:t>- 24 - c)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