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ZD24.058511 vom 30. Januar 2026</w:t>
      </w:r>
    </w:p>
    <w:p>
      <w:r>
        <w:t>VD Tribunal cantonal, 2026-01-30, FR</w:t>
      </w:r>
    </w:p>
    <w:p>
      <w:r>
        <w:rPr>
          <w:b/>
        </w:rPr>
        <w:t xml:space="preserve">Quelle: </w:t>
      </w:r>
      <w:r>
        <w:t>https://mcp.opencaselaw.ch/entscheid/vd_gerichte_ZD24.058511</w:t>
      </w:r>
    </w:p>
    <w:p>
      <w:r>
        <w:t>FR: VD_GERICHTE ZD24.058511 du 30 janvier 2026</w:t>
      </w:r>
    </w:p>
    <w:p>
      <w:r>
        <w:t>IT: VD_GERICHTE ZD24.058511 del 30 gennaio 2026</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10J010</w:t>
      </w:r>
    </w:p>
    <w:p>
      <w:r>
        <w:t>- 9 - pourrait obtenir en exerçant l’activité qui peut raisonnablement être exigée de lui après les traitements et les mesures de réadaptation, sur un marché du travail équilibré (revenu avec invalidité ; art. 16 LPGA).</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10J010</w:t>
      </w:r>
    </w:p>
    <w:p>
      <w:r>
        <w:t>- 10 -</w:t>
      </w:r>
    </w:p>
    <w:p>
      <w:r>
        <w:rPr>
          <w:b/>
        </w:rPr>
        <w:t>E. 6</w:t>
      </w:r>
    </w:p>
    <w:p>
      <w:r>
        <w:t>En l’espèce, l’intimé, se fondant sur l’avis de son service médical interne, a octroyé à l’assurée une rente entière d’invalidité du 1er mars 2021 au 31 octobre 2022, puis une rente de 60 % d’une rente entière à compter du 1er novembre 2022, soit trois mois après l’amélioration de sa capacité de gain, le 1er août 2022. a) Cela étant, il n’y a pas lieu de s’écarter en l’espèce de l’analyse effectuée sur le plan médical par le SMR, lequel retient une incapacité totale de travail du 17 mars 2020 au 31 juillet 2022 et une capacité résiduelle de travail de 30 % dans toute activité à compter du 1er août 2022. Le SMR n’a en effet pas abusé de son pouvoir d’appréciation en écartant, dans son avis du 7 mars 2024, l’examen clinique réalisé en son sein par le Dr L.________, compte tenu des nombreuses constatations objectives (réduction des activités de la vie quotidienne depuis la survenance de l’atteinte à la santé, retour de l’assurée au domicile de ses parents en novembre 2020, prise de poids, cortège de symptômes dépressifs permettant de retenir un épisode dépressif moyen, déroulement des mesures de réadaptation qui n’ont pas permis de dépasser un taux d’activité de 40 % et nombre de limitations fonctionnelles retenues) entrant en contradiction avec les conclusions dudit examen, qui faisaient état d’une capacité totale de travail dans une activité adaptée à compter du mois de mars 2020. Le SMR a également expliqué de manière convaincante les raisons pour lesquelles il validait l’analyse du Dr M.________, relevant que la description clinique était claire, que les limitations fonctionnelles et les ressources avait été dûment explorées, que les limitations fonctionnelles étaient uniformes et que l’existence de comorbidités anxieuses et dépressives par le passé noircissaient le pronostic. S’agissant plus particulièrement du diagnostic de trouble du spectre autistique posé par ce médecin, il n’entre pas en contradiction, contrairement à ce que soutient la recourante, avec les diagnostics précédemment posés, mais apporte une meilleure compréhension de la symptomatologie présentée par l’assurée. 10J010</w:t>
      </w:r>
    </w:p>
    <w:p>
      <w:r>
        <w:t>- 11 - Quoi qu’il en soit, du point de vue de l’assurance-invalidité, ce n’est pas fondamentalement le diagnostic, mais l’effet de l’atteinte à la santé sur la capacité de travail qui est déterminant (TF 8C_672/2023 du 4 juin 2024 consid. 3.2.1 et les références citées). A cet égard, l’évaluation de la capacité de travail effectuée par l’intimé rejoint aussi bien l’évaluation opérée par le précédent psychiatre traitant de l’assurée, le Dr J.________, que les observations effectuées dans le cadre des mesures d’ordre professionnel allouées à l’assurée, durant lesquelles, le taux de présence, initialement fixé à 20 % avec l’objectif d’augmenter progressivement ce taux, n’a que très peu évolué sur la durée (taux de présence de 25 % au 31 mai 2022 [cf. note d’entretien du 22 juin 2022], de 30 % dès le 4 juillet 2022 et de 40 % dès le 11 juillet 2022 [cf. notre d’entretien du 30 juin 2022]). Pour le reste, il convient de rappeler que, selon la jurisprudence, il est possible de renoncer à procéder à un examen détaillé des indicateurs jurisprudentiels développés par le Tribunal fédéral (cf. ATF 141 V 281) lorsque cela n’est pas nécessaire pour établir les faits, en particulier lorsque des rapports médicaux spécialisés ayant pleine valeur probante concluent de manière convaincante à l’existence ou l’absence d’une incapacité de travail, sans que d’autres rapports de valeur équivalente – en raison d'un manque de qualification médicale spécialisée ou pour d'autres raisons – n’établissent le contraire (ATF 143 V 418 consid. 7.1 ; 143 V 409 consid. 4.5.3 ; TF 8C_130/2017 du 30 novembre 2017 consid. 7.1). Ainsi, dès lors que tant les médecins traitants de l’assurée que le SMR, par l’entremise du Dr N.________, spécialiste en psychiatrie et psychothérapie, parviennent à des conclusions similaires au sujet de la capacité résiduelle de travail de l’assurée, un examen détaillé des indicateurs jurisprudentiels ne se justifiait pas dans le cas d’espèce. b) En définitive, c’est à juste titre que l’office intimé a accordé à l’assurée le droit à une rente entière d’invalidité du 1er mars 2021 au 31 octobre 2022, puis, nonobstant la capacité résiduelle de travail attestée sur le plan médical, le droit à une rente s’élevant à 60 % d’une rente entière à compter du 1er novembre 2022. Il convient en effet de tenir compte de l’activité concrètement exercée par l’assurée (ATF 148 V 174 consid. 6.2. et 10J010</w:t>
      </w:r>
    </w:p>
    <w:p>
      <w:r>
        <w:t>- 12 - les références citées), étant précisé que le salaire perçu dans le cadre de sa nouvelle activité (31'600 fr. selon l’avenant au contrat de travail signé le 11 août 2022) correspond au salaire perçu avant l’atteinte à la santé (79'000 fr. selon le questionnaire rempli par l’employeur le 12 août 2020), ramené à 40 %.</w:t>
      </w:r>
    </w:p>
    <w:p>
      <w:r>
        <w:rPr>
          <w:b/>
        </w:rPr>
        <w:t>E. 7</w:t>
      </w:r>
    </w:p>
    <w:p>
      <w:r>
        <w:t>a) Sur le vu de ce qui précède, le recours doit être rejeté.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L’assurée, intéressée à la procédure, a droit à une indemnité de dépens à titre de participation aux honoraires de son conseil (art. 61 let. g LPGA). Il convient d’arrêter l’indemnité de dépens à 1’500 fr., débours et TVA compris (art. 10 et 11 TFJDA [tarif du 28 avril 2015 des frais judiciaires et des dépens en matière administrative ; RSV 173.36.5.1]) et de la mettre intégralement à la charge de la partie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