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ZD24.052923 vom 2. Oktober 2025</w:t>
      </w:r>
    </w:p>
    <w:p>
      <w:r>
        <w:t>VD Tribunal cantonal, 2025-10-02, FR</w:t>
      </w:r>
    </w:p>
    <w:p>
      <w:r>
        <w:rPr>
          <w:b/>
        </w:rPr>
        <w:t xml:space="preserve">Quelle: </w:t>
      </w:r>
      <w:r>
        <w:t>https://mcp.opencaselaw.ch/entscheid/vd_gerichte_ZD24.052923</w:t>
      </w:r>
    </w:p>
    <w:p>
      <w:r>
        <w:t>FR: VD_GERICHTE ZD24.052923 du 2 octobre 2025</w:t>
      </w:r>
    </w:p>
    <w:p>
      <w:r>
        <w:t>IT: VD_GERICHTE ZD24.052923 del 2 ottobre 2025</w:t>
      </w:r>
    </w:p>
    <w:p>
      <w:pPr>
        <w:pStyle w:val="Heading2"/>
      </w:pPr>
      <w:r>
        <w:t>Erwägungen</w:t>
      </w:r>
    </w:p>
    <w:p>
      <w:r>
        <w:rPr>
          <w:b/>
        </w:rPr>
        <w:t>E. 29</w:t>
      </w:r>
    </w:p>
    <w:p>
      <w:r>
        <w:t>al. 1 LAI). Partant, ce sont les dispositions en vigueur à partir du 1er janvier 2022 qui s’appliquent à la présente situation.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- 17 -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w:t>
      </w:r>
    </w:p>
    <w:p>
      <w:r>
        <w:t>- 18 -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w:t>
      </w:r>
    </w:p>
    <w:p>
      <w:r>
        <w:t>- 19 - 8C_565/2008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- 20 - constatations du médecin de l’assurance (ATF 135 V 465 consid. 4.5 et 4.6 et les références citées ; TF 8C_757/2023 du 20 décembre 2024 consid. 7 ; TF 8C_220/2024 du 4 octobre 2024 consid. 3.2). 6. a) En l’espèce, il n’est pas contesté que le recourant est atteint dans sa santé au niveau des genoux, des épaules et des mains, et qu’il n’est, dès lors, plus en mesure d’exercer son activité habituelle de constructeur métallique indépendant. Le recourant fait valoir que son état de santé et les douleurs dont il souffre, en particulier aux épaules, aux poignets et aux mains, l’empêchent d’exercer une quelconque activité professionnelle. b) aa) En ce qui concerne les atteintes dont se prévaut l’assuré, il est établi que ce dernier a souffert, à la suite d’un traumatisme survenu le 29 avril 2021, d’une déchirure méniscale interne du genou droit, pour laquelle il a bénéficié d’une ménisectomie partielle interne le 23 juin 2021 (cf. rapport du 31 mai 2021 et protocole opératoire du 23 juin 2021 du Dr F.________). Il a ensuite développé des douleurs aux deux épaules, d’abord à gauche, en raison d’un syndrome de conflit sous- acromial postérieur, d’origine dégénérative, révélé par l’usage de cannes, pour laquelle il a subi une ténotomie du biceps gauche avec synovectomie et acromioplastie en date du 23 février 2022 (cf. rapport d’IRM du 17 septembre 2021 du Dr D.________ et rapports des 30 décembre 2021, 25 mars 2022 et protocole opératoire du 23 février 2022 du Dr F.________). L’assuré a ensuite subi deux nouvelles opérations, soit une méniscectomie partielle du genou gauche le 23 novembre 2022 puis, le 19 avril 2023, une acromioplastie et ténotomie du biceps pour la prise en charge du syndrome sous-acromial de l’épaule droite (cf. protocoles opératoires des 23 novembre 2022 et 19 avril 2023 du Dr F.________). L’intéressé a ensuite connu de fortes douleurs aux mains et aux poignets pour lesquelles le Dr F.________ a retenu le diagnostic d’arthrose avancée des mains, surtout à droite, en particulier de l’articulation carpo-métacarpienne, avec un carpe bossu et une disparition complète de l’interligne, qui n’était pas curable chirurgicalement (cf. rapports des 28 mars 24 mai, 10 août et 14</w:t>
      </w:r>
    </w:p>
    <w:p>
      <w:r>
        <w:t>- 21 - décembre 2023). Un examen rhumatologique ainsi que des bilans radiologique et sanguin ont toutefois permis à la Dre X.________ d’écarter le diagnostic de rhumatisme inflammatoire ou métabolique à l’origine de ses douleurs. Des examens cliniques chez un spécialiste en chirurgie de la main, complétés par une scintigraphie osseuse en trois phases, n’ont en outre pas permis d’expliquer l’importance des douleurs ressenties par l’assuré au niveau des doigts, ni l’ankylose du poignet et l’absence de force de poigne, l’imagerie en question ayant mis en évidence essentiellement une arthrose scapho-trapézo-trapézoïdienne débutante (cf. rapports des 4 et 21 mars 2024 du Dr B.________ et rapport de scintigraphie du 13 mars 2024 du Dr N.________). bb) Dans son rapport du 17 octobre 2022, le Dr W.________ a indiqué que la capacité de travail de l’assuré dans son activité habituelle était de 20 % depuis le 11 avril 2022, en précisant que ce taux valait pour des travaux de nature administrative, sans port de charge conséquent, ni de travail avec les mains au-dessus des épaules. Il bénéficiait, dès le jour de l’examen, d’une pleine capacité de travail dans une activité adaptée à ses limitations fonctionnelles, à savoir : « pas de port de charges de plus de 15 kg, à hauteur du tronc (lever une charge, manipuler une charge), pas de port de charges au-dessus, pas de port de charges en porte-à-faux, pas de mouvement répétitif des épaules avec charges ». Le Dr W.________ estimait en outre qu’une reprise à un taux supérieur à 20 % de son activité habituelle était peu probable, en raison des charges importantes que celle-ci impliquait, raison pour laquelle une reconversion professionnelle était indiquée. Pour sa part, le Dr F.________ a initialement mentionné une capacité de travail de 20 % dans l’activité habituelle, ajoutant que le pronostic était favorable quant à l’évolution probable de son état de santé et de son rendement, et a fait état de limitations fonctionnelles incluant le port de charges lourdes supérieures à 5 kg et les activités en hauteur avec les bras (cf. attestation médicale du 18 août 2022). Il a ensuite qualifié de « réservé » le pronostic d’une reprise à 100 % et évalué la capacité de travail dans une activité adaptée entre 50 et 100 % suivant l’activité (cf.</w:t>
      </w:r>
    </w:p>
    <w:p>
      <w:r>
        <w:t>- 22 - rapport du 19 décembre 2022), puis a mentionné une évolution favorable s’agissant des genoux, respectivement défavorable s’agissant des épaules et des poignets, en faisant mention de limitations fonctionnelles importantes, sans autre précision, au niveau des épaules et des mains, et en expliquant qu’il ne pouvait se prononcer en l’état sur la capacité de travail dans une activité adaptée, l’assuré venant de se faire opérer de l’épaule droite (cf. rapport du 24 mai 2023). Dans son rapport du 4 juillet 2023, le chirurgien traitant a exposé que les atteintes aux deux épaules et aux deux poignets étaient sévères et que l’activité habituelle ne pourrait pas être reprise, seule une activité de bureau demeurant théoriquement exigible, tout en précisant que les possibilités de reconversion lui semblaient minces. Il a par la suite confirmé ce constat, en précisant que l’épaule droite était encore en cours de récupération (cf. rapport du 10 août 2023), puis a défini des limitations fonctionnelles incluant le port de charge dépassant 3 kg et des douleurs lors des efforts en force avec les mains, à la montée et à la descente des escaliers, ainsi que lors des gestes loin du corps avec les épaules (cf. rapport du 14 décembre 2023). cc) Sur cette base, le SMR a retenu que le recourant souffrait d’une atteinte invalidante depuis le 29 avril 2021, savoir un syndrome sous-acromial des deux épaules, une gonarthrose débutante des deux genoux et une arthrose avancée des deux mains, entraînant l’inexigibilité de son activité habituelle de constructeur métallique. Il a toutefois constaté qu’il bénéficiait d’une pleine capacité de travail dans une activité adaptée, depuis toujours, les limitations fonctionnelles étant les suivantes : pas de travail en force avec les mains, de port de charge supérieur à 3 kg, de mouvements des bras au-dessus du plan des épaules, de marche prolongée et/ou en terrain irrégulier, de montée/descente récurrente d’escaliers, de travaux accroupis/à genoux, sur échafaudage (cf. rapports SMR des 6 février et 18 juin 2024). dd) Aux termes de son rapport du 25 avril 2024, le Dr F.________ relève que la situation de l’assuré se détériore de plus en plus et qu’il n’y a plus d’espoir d’améliorer médicalement l’état de ses mains. Il déclare ne pas être certain qu’une reconversion soit possible au vu de ses</w:t>
      </w:r>
    </w:p>
    <w:p>
      <w:r>
        <w:t>- 23 - atteintes aux deux membres inférieurs et supérieurs. Dans son rapport subséquent du 8 mai 2024, ce médecin précise que la situation de son patient est restée stationnaire du point de vue anatomique, mais s’est toutefois péjorée du point de vue anamnestique, l’assuré ressentant de vives douleurs à la moindre tentative de mobilisation des poignets ou des mains, entraînant une limitation durable des efforts avec les deux mains. Il conclut à une capacité de travail nulle, en précisant qu’il ne voit pas de contre-indication médicale à une réadaptation et en exposant ne pas parvenir à identifier d’activité dans laquelle l’assuré pourrait retrouver une capacité de travail. Cela étant, le Dr F.________, reprend son appréciation telle que déjà communiquée précédemment. Il ne fait pas état de limitations fonctionnelles plus restrictives que celles retenues par l’OAI et ne se prononce pas sur la capacité de travail exigible de son patient dans une activité adaptée. Singulièrement, il n’explique pas en quoi les douleurs présentées par l’intéressé impliqueraient des limitations fonctionnelles plus importantes ou diminueraient dans une plus large mesure sa capacité résiduelle de travail, ni n’avance aucun autre élément qui pourrait conduire à retenir une solution différente concernant le droit à une rente d’invalidité. Ainsi, le recourant ne saurait se prévaloir du rapport de ce médecin pour mettre en doute le bien-fondé des conclusions du SMR. Par ailleurs, aucun élément médical au dossier ne vient contredire les conclusions du SMR ; en particulier, aucun avis médical circonstancié ne fait état d’une incapacité de travail dans une activité adaptée respectant les limitations fonctionnelles. De surcroît, l’appréciation du SMR est fondée sur une analyse complète des pièces mises à disposition. Elle est bien expliquée et les conclusions médicales sont motivées de manière cohérente et convaincante. Il y a par conséquent lieu d'admettre que celles-ci répondent aux exigences jurisprudentielles en matière de valeur probante. On relèvera également que les limitations fonctionnelles définies par le SMR et reprises par l’intimé correspondent en tous points à celles décrites en dernier lieu par le Dr F.________, dans son rapport du 14 décembre 2023.</w:t>
      </w:r>
    </w:p>
    <w:p>
      <w:r>
        <w:t>- 24 - Au surplus, le recourant produit un rapport du 22 août 2025 du Dr F.________, faisant état d’une aggravation de sa situation et de ses douleurs. Il sied de constater que les atteintes rapportées, à savoir une arthrose des mains et un kyste arthro synovial à la main gauche – (cf. rapport d’IRM du 13 mars 2023) s’agissant de la main droite – sont déjà connues et ont été prises en compte par le SMR, respectivement l’OAI. Pour ce qui est de l’apparition d’un syndrome du tunnel carpien à la main droite qui, selon le Dr F.________, mériterait une cure chirurgicale, on constate que ce médecin ne fait pas état de limitations fonctionnelles plus restrictives que celles retenues par l’intimé ni ne se prononce sur la capacité de travail résiduelle de son patient. C’est également le lieu de rappeler que le juge des assurances sociales apprécie la légalité des décisions attaquées d’après l’état de fait existant au moment où la décision litigieuse a été rendue ; les faits survenus postérieurement et ayant modifié cette situation devant faire l’objet d’une nouvelle décision administrative (cf. ATF 144 V 210 consid. 4.3.1 ; TF 8C_105/22 du 12 juillet 2022 consid. 4.1). c) Il résulte de ce qui précède que l’intimé était fondé à retenir une capacité de travail entière de l’assuré dans une activité adaptée à ses limitations fonctionnelles, aucun élément se rapportant à la situation prévalant au moment de la décision entreprise ne permettant de remettre en cause ce constat. 7. Sur le plan économique, le recourant ne conteste pas les revenus sans et avec invalidité retenus par l’intimé, ni le recours à l’Enquête suisse sur la structure des salaires ou le calcul du taux d’invalidité, lequel aboutit à un degré d’invalidité de 13 %, respectivement de 22 % dès le 1er janvier 2024 (chiffres arrondis ; cf. ATF 130 V 121 consid. 3.2), n’atteignant pas le seuil de 40 % et, partant, n’ouvrant pas de droit à une rente d’invalidité (art. 28 al. 1 LAI). Vérifiés d’office, ces éléments peuvent être confirmés. 8. Se pose encore la question du droit de l’assuré à des mesures d’ordre professionnel.</w:t>
      </w:r>
    </w:p>
    <w:p>
      <w:r>
        <w:t>- 25 -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 130 V 488 consid. 4.2 et les références citées). b) En l’espèce, quand bien même le taux d’invalidité atteint le seuil de 20 % ouvrant le droit à un reclassement professionnel, il faut admettre, avec l’intimé, qu’aucune mesure ne permettrait de réduire le préjudice économique. L’OAI a en effet considéré que la meilleure solution était la mise en valeur de ses compétences en lien avec la construction métallique ainsi qu’avec l’industrie légère, en précisant que l’intéressé pourrait suivre une formation pratique, mais que celle-ci ne réduirait pas le préjudice économique (cf. « REA – Rapport final » du 16 juillet 2024). On relèvera au surplus que les limitations fonctionnelles du recourant lui permettent d’exercer de nombreuses activités ne nécessitant pas de formation particulière hormis une mise au courant initiale (activités</w:t>
      </w:r>
    </w:p>
    <w:p>
      <w:r>
        <w:t>- 26 - légères visées par l’ESS, skill_level, niveau de compétence 1 ; cf. TF 9C_486/2022 du 17 août 2023 consid. 8), telles que listées par l’OAI, à savoir « […] un travail simple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contrôle qualité, comme aide- administratif en lien avec la construction métallique (réception, devis, facturation) ou vente simple (shop et autres) » (cf. « calcul du degré d’invalidité » du 16 juillet 2024). L’intimé a, par ailleurs, accordé une mesure d’aide au placement au recourant par communication du 29 juillet 2024, à laquelle celui-ci a déclaré renoncer le 26 août suivant, au motif que son état de santé ne le permettait pas. Il demeure toutefois loisible à ce dernier de solliciter l’intimé en tout temps pour la mise en œuvre de cette mesure. 9. 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et a procédé sans le concours d’un mandataire qualifié (ATF 127 V 205 consid. 4b).</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