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ZD24.051740 vom 19. Mai 2025</w:t>
      </w:r>
    </w:p>
    <w:p>
      <w:r>
        <w:t>VD Tribunal cantonal, 2025-05-19, FR</w:t>
      </w:r>
    </w:p>
    <w:p>
      <w:r>
        <w:rPr>
          <w:b/>
        </w:rPr>
        <w:t xml:space="preserve">Quelle: </w:t>
      </w:r>
      <w:r>
        <w:t>https://mcp.opencaselaw.ch/entscheid/vd_gerichte_ZD24.051740</w:t>
      </w:r>
    </w:p>
    <w:p>
      <w:r>
        <w:t>FR: VD_GERICHTE ZD24.051740 du 19 mai 2025</w:t>
      </w:r>
    </w:p>
    <w:p>
      <w:r>
        <w:t>IT: VD_GERICHTE ZD24.051740 del 19 maggio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w:t>
      </w:r>
    </w:p>
    <w:p>
      <w:r>
        <w:t>- 11 - pourrait obtenir en exerçant l’activité qui peut raisonnablement être exigée de lui après les traitements et les mesures de réadaptation, sur un marché du travail équilibré (revenu avec invalidité ; art. 16 LPGA).</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w:t>
      </w:r>
    </w:p>
    <w:p>
      <w:r>
        <w:t>- 14 -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En l’espèce, l’OAI a mis en œuvre une expertise bi- disciplinaire, comportant un volet de psychiatrie et un volet de rhumatologie, qui a été confiée aux experts de D.________ Sàrl. Cet office a retenu, sur la base du rapport d’expertise du 11 novembre 2023, ainsi que des avis SMR des 24 novembre 2023, 15 mars et 11 octobre 2024, que la recourante présentait une capacité de travail entière dans tous les types d’activité. De son côté, la recourante conteste être capable de travailler à 100 % compte tenu des difficultés sévères en cognition sociale dont elle souffre. Elle déplore également que les troubles mis en évidence par les évaluations neuropsychologiques des 8 février et 11 juin 2024, à savoir des troubles de l’adaptation, de la concentration et du spectre autistique, n’aient pas été pris en compte par les experts.</w:t>
      </w:r>
    </w:p>
    <w:p>
      <w:r>
        <w:t>- 15 - a) Sur le plan rhumatologique, l’expert R.________ a retenu le diagnostic de syndrome douloureux, type fibromyalgie (cf. p. 26 du rapport d’expertise du 11 novembre 2023). Il a précisé que l’examen rhumatologique était strictement normal et ne mettait en évidence aucune pathologie incapacitante, ce que la recourante ne conteste d’ailleurs pas et qui n’est pas remis en cause par les pièces au dossier. b) aa) S’agissant du volet psychiatrique de l’expertise, on commencera par relever que l’examen clinique du Dr K.________ n’a duré qu’une heure lors de l’entretien du 3 octobre 2023, ce qui semble relativement court. Si le Tribunal fédéral considère, de jurisprudence constante, qu’un entretien de courte durée n’exclut pas une étude fouillée et complète du cas (TF 9C_550/2014 du 3 février 2015 consid. 4.3.3 ; TF I 533/06 du 23 mai 2007 consid. 5.6), tel n’est toutefois pas le cas en l’occurrence, le volet psychiatrique de l’expertise n’apparaissant guère convaincant. En effet, au niveau des diagnostics, l’expert K.________ n’a retenu aucun diagnostic, incapacitant ou non, sans toutefois examiner les différents diagnostics posés par les psychiatres et médecin traitants, avec qui il n’a au demeurant pas pris contact. Concernant le diagnostic de trouble dépressif récurrent, épisode moyen (F33.1) posé par les Drs Y.________, Q.________, Z.________ et la psychologue F.________ (cf. rapports des 31 janvier et 22 février 2023), l’expert s’est contenté de mentionner qu’était présente une évocation d’épisode dépressif chez une expertisée qui détenait une capacité hédonique conservée, se projetait dans l’avenir et apparaissait sthénique. Il a expliqué ne pas retenir ce diagnostic chez une assurée qui détenait une modulation affective efficace (cf. p. 44 du rapport d’expertise du 11 novembre 2023). Or, il ressort du rapport des Drs Q.________, Z.________ et de la psychologue F.________ du 22 février 2023 que la recourante présentait une fatigue accrue, des difficultés à se motiver, d’énormes difficultés dans l’activation comportementale, une labilité émotionnelle et une difficulté extrême à gérer le stress et les émotions négatives fortes. Ce rapport précisait que la recourante présentait une perte d’intérêt et d’énergie avec une</w:t>
      </w:r>
    </w:p>
    <w:p>
      <w:r>
        <w:t>- 16 - augmentation de la fatigabilité, ainsi que des sentiments de culpabilité et d’inutilité, avec des perspectives négatives et pessimistes pour son futur. On notera ici que l’expert K.________ a mentionné que le traitement psychopharmacologique antidépresseur pouvait aisément être remis en cause chez une expertisée qui n’était, à l’évidence, pas déprimée. Or la recourante s’est vu prescrire 10 mg de Cipralex le soir par son médecin traitant et 15 mg le matin par son psychiatre traitant (cf. p. 2 du rapport des Drs Q.________, Z.________ et de la psychologue F.________ du 22 février 2023). S’agissant du diagnostic de phobie sociale retenu par les Drs Y.________, Q.________, Z.________ et la psychologue F.________ (cf. rapports des 31 janvier et 22 février 2023), l’expert n’en fait pas mention. Il a, au contraire, relevé que le sens du contact de la recourante envers les tiers était efficient et qu’elle était capable d’évoluer au sein d’un groupe, sans toutefois discuter les difficultés ressenties par la recourante au niveau des interactions sociales mentionnées dans le rapport du 22 février 2023, notamment du fait qu’elle avait toujours évité les interactions sociales, ayant développé une phobie sociale et une méfiance marquée envers les autres. Enfin, l’expert a exclu le diagnostic d’état de stress post- traumatique au motif que l’expertisée n’avait pas été exposée à des phénomènes de torture, ni incarcérée en camp de concentration et chez qui il n’existait pas de phénomènes de qui-vive et/ou de détachement affectif (p. 44 du rapport d’expertise du 11 novembre 2023). Outre le fait qu’il paraît notoire qu’un trouble de stress post-traumatique puisse survenir dans des contextes moins « extrêmes » que ceux des camps de concentration ou de torture (par exemple, après un accident de voiture), il ressort du dossier que la recourante a fait l’objet de harcèlement scolaire durant une grande partie de sa scolarité. En effet, elle a vécu beaucoup de critiques et d’insultes à l’école, ayant notamment été victime de harcèlement car elle était la plus petite en taille, ainsi que de violence de la part de ses camarades. A cet égard, l’expert l’a évoqué en une phrase (cf. pp. 32 et 34 du rapport d’expertise du 11 novembre 2023),</w:t>
      </w:r>
    </w:p>
    <w:p>
      <w:r>
        <w:t>- 17 - notamment dans l’anamnèse scolaire, tout en indiquant que sa scolarité s’était effectuée de manière « normale ». L’expert n’a pas discuté, de manière motivée, pour quel motif il estimait que la recourante ne souffrait pas d’un syndrome de stress post-traumatique en relation avec ces événements. Il a tout simplement ignoré ces éléments dans le cadre de son analyse, alors qu’ils ont été évoqués par la recourante durant l’expertise. En définitive, l’absence de discussion étayée des diagnostics retenus par les différents médecins jette un discrédit important quant à l’appréciation diagnostique de l’expert K.________. bb) Concernant les investigations neuropsychologiques, l’expert psychiatre a constaté qu’elles allaient débuter en novembre 2023 dans le cadre d’un éventuel trouble du spectre autistique auprès du psychologue V.________, au sein du Centre H.________ (cf. p. 9 du rapport d’expertise du 11 novembre 2023). Toutefois, l’expert n’a pas jugé utile de procéder lui-même à des tests neuropsychologiques (cf. p. 41 rapport d’expertise du 11 novembre 2023), sans autre explication, alors qu’il avait connaissance de l’existence de suspicions de trouble autistique. Il n’a pas non plus attendu leur résultat, ni n’a été invité à se prononcer sur ceux-ci une fois qu’ils ont été versés au dossier, pas plus qu’il n’a émis une quelconque réserve à ce sujet. On peine à comprendre comment, devant une telle suspicion, l’expert n’a pas jugé utile d’investiguer ce point, n’a pas indiqué pour quel motif il écartait un tel diagnostic ou en quoi ces tests auraient été, à son sens, inutiles. Ainsi, l’expertise est lacunaire sur ce point également. cc) En définitive, au vu du manque de consistance du volet psychiatrique de l’expertise, aucune valeur probante ne peut lui être reconnu. Il en ressort que, sur le plan psychiatrique, l’expertise ne permet pas de se prononcer en connaissance de cause sur la capacité de travail de la recourante.</w:t>
      </w:r>
    </w:p>
    <w:p>
      <w:r>
        <w:t>- 18 - c) La recourante reproche encore aux experts de ne pas avoir tenu compte des troubles mis en évidence par les évaluations neuropsychologiques des 8 février et 11 juin 2024, à savoir des troubles de l’adaptation, de la concentration et du spectre autistique. Or ces deux évaluations ont été effectuées après l’expertise bi-disciplinaire, de sorte qu’il ne peut être fait grief aux experts de ne pas en avoir tenu compte. En revanche, ces deux rapports ont été établis avant que l’OAI ne rende sa décision du 16 octobre 2024 et ils auraient dû être soumis aux experts pour déterminations. On relèvera ensuite que, dans leur rapport du 22 février 2023, la Dre W.________ et la psychologue F.________ ont posé, en plus des diagnostics de trouble dépressif récurrent, épisode actuel moyen, de phobie sociale et d’état de stress post-traumatique déjà retenus dans le rapport du 22 février 2023, le diagnostic de perturbation de l’activité et de l’attention depuis 2024, tout en mentionnant qu’une évaluation neuropsychologique avait permis d’aboutir à un score parlant en faveur du spectre de l’autisme. Le SMR a toutefois estimé, dans un avis du 11 octobre 2024, que les informations supplémentaires reçues dans le cadre de l’audition ne permettaient pas de retenir de limitations fonctionnelles durables impactant la capacité de travail de la recourante. Il n’a toutefois pas discuté des limitations fonctionnelles retenues par la Dre W.________ et la psychologue F.________, à savoir une phobie sociale ne permettant pas à la recourante de travailler en équipe, des ruminations anxieuses envahissantes, des troubles de la concentration très marqués, une humeur abaissée, une faible estime de soi, ainsi qu’une faible résistance au stress et à la frustration. Ainsi, au travail, la recourante pourrait présenter des difficultés sur le plan de l’interaction sociale et de la communication, des difficultés à gérer des situations imprévues et stressantes, des difficultés d’organisation et de concentration, des difficultés relationnelles et une fatigabilité accrue avec une nette diminution du rendement. En outre, elle présentait des épisodes de dissociation (liés aux traumatismes vécus dans le passé) conduisant à une nette diminution du rendement, élément qui n’a pas été discuté par le SMR. d) En définitive, la situation médicale de la recourante n’a pas été instruite entièrement par l’intimé, qui a, par conséquent, statué en</w:t>
      </w:r>
    </w:p>
    <w:p>
      <w:r>
        <w:t>- 19 - méconnaissance de son état de santé global et de ses limitations fonctionnelles.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t>- 20 - d) En l’espèce, il ne pouvait échapper à l’intimé que le rapport d’expertise du Dr K.________ était insuffisant compte tenu de ses lacunes et incohérences pour statuer sur le droit aux prestations de la recourante, de sorte que ce document ne pouvait se voir accorder valeur probante. En outre, les rapports d’évaluation neuropsychologiques des 9 février et 11 juin 2024, ainsi que le rapport du 13 août 2024 auraient dû inciter l’intimé à poursuivre l’instruction du cas de la recourante. La Cour de céans estime dès lors que l’intimé a failli à son obligation d’élucider les faits à satisfaction. Il s’agit dès lors de lui renvoyer la cause pour complément d’instruction. Après actualisation des pièces médicales, il lui incombera de solliciter une nouvelle expertise psychiatrique, avec un volet neuropsychologique.</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- 12 -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A titre de mesure d’instruction, la recourante a requis la mise en œuvre d’une expertise médicale. Au vu du sort du recours, il n’y a pas lieu d’y donner suite.</w:t>
      </w:r>
    </w:p>
    <w:p>
      <w:r>
        <w:rPr>
          <w:b/>
        </w:rPr>
        <w:t>E. 10</w:t>
      </w:r>
    </w:p>
    <w:p>
      <w:r>
        <w:t>a) En définitive, le recours doit être admis et la décision rendue le 16 octobre 2024 par l’intimé annulée, la cause étant renvoyée à cette autorité pour instruction complémentaire dans le sens des considérants, puis nouvelle décision.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l’intimé, qui succombe.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