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ZD24.051410 vom 26. März 2025</w:t>
      </w:r>
    </w:p>
    <w:p>
      <w:r>
        <w:t>VD Tribunal cantonal, 2025-03-26, FR</w:t>
      </w:r>
    </w:p>
    <w:p>
      <w:r>
        <w:rPr>
          <w:b/>
        </w:rPr>
        <w:t xml:space="preserve">Quelle: </w:t>
      </w:r>
      <w:r>
        <w:t>https://mcp.opencaselaw.ch/entscheid/vd_gerichte_ZD24.051410</w:t>
      </w:r>
    </w:p>
    <w:p>
      <w:r>
        <w:t>FR: VD_GERICHTE ZD24.051410 du 26 mars 2025</w:t>
      </w:r>
    </w:p>
    <w:p>
      <w:r>
        <w:t>IT: VD_GERICHTE ZD24.051410 del 26 marzo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droit de la recourante au versement de l’indemnité d’amortissement pour l’utilisation de son véhicule automobile dans le cadre de son activité salariée durant l’année 2024.</w:t>
      </w:r>
    </w:p>
    <w:p>
      <w:r>
        <w:rPr>
          <w:b/>
        </w:rPr>
        <w:t>E. 3</w:t>
      </w:r>
    </w:p>
    <w:p>
      <w:r>
        <w:t>L’entrée en vigueur le 1er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aux moyens auxiliaires de l’assurance-invalidité.</w:t>
      </w:r>
    </w:p>
    <w:p>
      <w:r>
        <w:t>- 6 -</w:t>
      </w:r>
    </w:p>
    <w:p>
      <w:r>
        <w:rPr>
          <w:b/>
        </w:rPr>
        <w:t>E. 4</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(al. 3). La liste des moyens auxiliaires fait l’objet d’une ordonnance du Département fédéral de l’intérieur (art. 14 RAI [règlement du 17 janvier 1961 sur l’assurance-invalidité ; RS 831.201]). L’art. 2 al. 1 OMAI (ordonnance du DFI [Département fédéral de l’intérieur] du 29 novembre 1976 concernant la remise de moyens auxiliaires par l’assurance-invalidité ; RS 831.232.51) prévoit qu’ont droit aux moyens auxiliaires, dans les limites fixées par la liste en annexe, les assurés qui en ont besoin pour se déplacer, établir des contacts avec leur entourage ou développer leur autonomie personnelle. L’annexe de l’OMAI comprend le versement d’une indemnité d’amortissement annuelle s’élevant à 3'000 fr. pour les assurés qui, exerçant d’une manière probablement durable une activité lucrative</w:t>
      </w:r>
    </w:p>
    <w:p>
      <w:r>
        <w:t>- 7 - leur permettant de couvrir leurs besoins, ne peuvent se passer d’un véhicule à moteur personnel pour se rendre à leur travail (ch. 10.04*). L’astérisque (*) au chiffre 10.04 indique que ce moyen auxiliaire n’est octroyé que si l’assuré en a besoin pour exercer une activité lucrative ou accomplir ses travaux habituels, pour étudier ou apprendre un métier ou à des fins d’accoutumance fonctionnelle ou encore pour exercer l’activité nommément désignée au chiffre correspondant de l’annexe (art. 2 al. 2 OMAI). A teneur du chiffre 1020 de la CMAI (Circulaire concernant la remise de moyens auxiliaires par l’assurance-invalidité édictée par l’OFAS [Office fédéral des assurances sociales], dans sa teneur en vigueur au 1er janvier 2024), on est en présence d’une activité lucrative permettant de couvrir ses besoins lorsque l’assuré réalise un revenu brut effectif atteignant au moins la moyenne entre le minimum et le maximum de la rente simple ordinaire de vieillesse. Seul est déterminant le fait que l’activité permette de couvrir les besoins de l’assuré lui-même, non ceux de sa famille. L’annexe 1 chiffre 6.2 de la CMAI précise que le revenu mensuel au sens du chiffre 1020 permettant de reconnaître une activité lucrative comme couvrant les besoins de l’assuré s’élève à 1'838 francs. La prise en charge de tout moyen auxiliaire doit répondre aux critères de simplicité et d’adéquation (art. 8 al. 1 et 21 al. 3 LAI). Ces critères, qui sont l’expression du principe de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Dans ce contexte, il convient notamment de prendre en considération l’importance de la réadaptation que le moyen auxiliaire devrait permettre d'atteindre et la durée pendant laquelle ce moyen pourra servir l'objectif de réadaptation (ATF 132 V 215 consid. 3.2.2 ; TF 9C_279/2015 du 10 novembre 2015 consid. 3.4 et les références citées).</w:t>
      </w:r>
    </w:p>
    <w:p>
      <w:r>
        <w:t>- 8 -</w:t>
      </w:r>
    </w:p>
    <w:p>
      <w:r>
        <w:rPr>
          <w:b/>
        </w:rPr>
        <w:t>E. 5</w:t>
      </w:r>
    </w:p>
    <w:p>
      <w:r>
        <w:t>a) En l’occurrence, l’office intimé a refusé de verser à la recourante une indemnité (également désignée “contribution” par les parties) d’amortissement pour l’utilisation de son véhicule automobile dans le cadre de son activité salariée durant l’année 2024, au motif qu’elle n’avait pas réalisé tous les mois un salaire brut supérieur à 1'838 fr. et que la gratification, versée à bien plaire, n’était pas connue en début d’année et ne pouvait pas être prise en considération. La recourante estime, quant à elle, que son salaire annuel, tenant compte de sa gratification du mois d’août, doit être lissé sur tous les mois de l’année, son salaire mensuel s’élevant alors à 1'850 francs. b) Il convient de donner raison à la recourante. En premier lieu il sied de relever qu’une gratification versée par l’employeur fait partie du salaire, la recourante étant tenue de s’acquitter des cotisations sociales sur celle-ci (cf. la fiche de salaire de la recourante du mois d’août 2024 auprès de L.________). Cet élément n’est pas contesté par l’intimé. La recourante soutient que la position de l’office intimé est contraire au but visé par le chiffre 10 de l’annexe de l’OMAI. Dans un arrêt paru aux ATF 118 V 200, le Tribunal fédéral a considéré que le libellé du chiffre 10 de l’annexe de l’OMAI n’exclut pas des revenus légèrement inférieurs à la limite du minimum couvrant les besoins de l’assuré durant certains mois, en particulier au début des rapports de travail, car il importe de retenir l’existence d’une activité lucrative vraisemblablement durable permettant d’assurer l’existence de la personne lorsque la limite de revenu n’est temporairement (ou initialement) pas atteinte en raison de l’invalidité, alors qu’elle le sera à nouveau dans un délai relativement court (consid. 3a). Notre Haute Cour a en outre rappelé que l’exigence d’une activité lucrative garantissant le minimum vital a pour but de garantir la proportionnalité entre les moyens engagés par l’assurance-invalidité et le résultat économique, et que, dans la mesure où il se trouve un employeur prêt à indemniser un assuré à</w:t>
      </w:r>
    </w:p>
    <w:p>
      <w:r>
        <w:t>- 9 - hauteur de la valeur moyenne exigée, quelle qu’en soit la raison, son existence est considérée comme garantie au sens de la jurisprudence (consid. 3c). Il résulte de cet arrêt fédéral que, dans la situation de la recourante, le but visé par le chiffre 10 de l’annexe de l’OMAI est atteint tant que le revenu résultant de l’activité lucrative résiduelle exercée par celle-ci auprès des deux employeurs couvre ses besoins à hauteur de la valeur moyenne exigée. A cet égard, il est sans importance pour le Tribunal fédéral que le revenu puisse être inférieur ou d’autres mois supérieurs au seuil fixé à 1'838 fr. en 2024, de telle sorte que rien ne s’oppose à ce que l’on répartisse le revenu annuel de l’année 2024 sur douze mois pour déterminer le revenu mensuel de la recourante. Un tel mode de procéder est en outre commandé par le principe de l’égalité de traitement. En effet, si la recourante avait reçu la même gratification mais répartie sur les douze mois de l’année, elle aurait droit à la contribution d’amortissement du véhicule à moteur, son salaire mensuel s’élevant alors à 1'850 francs. A cet égard, quoi qu’en dise l’office intimé, il n’est pas pertinent que la gratification de 1'800 fr. n’ait été connue qu’en cours d’année. c) La recourante exerce d’une manière probablement durable une activité lucrative au taux résiduel de 30 % auprès de deux employeurs lui permettant de couvrir ses besoins pour l’année 2024, remplissant la première condition financière posée au chiffre de chiffre 10.04 de l’annexe de l’OMAI. Elle satisfait également la seconde exigence, l’OAI ne contestant pas que, d’un point de vue médical, l’état de santé de l’intéressée rend incontournable l’utilisation d’un véhicule automobile pour pouvoir se rendre au travail, au sens de l’art. 2 al. 2 OMAI.</w:t>
      </w:r>
    </w:p>
    <w:p>
      <w:r>
        <w:rPr>
          <w:b/>
        </w:rPr>
        <w:t>E. 6</w:t>
      </w:r>
    </w:p>
    <w:p>
      <w:r>
        <w:t>a) Le recours doit dès lors être admis et la décision litigieuse réformée en ce sens que K.________ a droit au versement de l’indemnité d’amortissement pour l’utilisation de son véhicule automobile dans le cadre de son activité salariée durant l’année 2024.</w:t>
      </w:r>
    </w:p>
    <w:p>
      <w:r>
        <w:t>- 10 - b) La procédure de recours en matière de contestations portant sur des prestations de l’assurance-invalidité est soumise à des frais de justice (art. 69 al. 1bis LAI). Il convient de les fixer à 600 fr. et de les mettre à la charge de l’intimé, vu l’issue du litige. c) La recourante obtient gain de cause et a droit à une indemnité de dépens à titre de participation aux honoraires de son conseil (art. 61 let. g LPGA). Aussi, compte tenu de l’importance et de la complexité du litige, il convient d’arrêter l’indemnité à 1’500 fr., débours et TVA compris, et de la mettre intégralement à la charge de l’intimé (art.</w:t>
      </w:r>
    </w:p>
    <w:p>
      <w:r>
        <w:rPr>
          <w:b/>
        </w:rPr>
        <w:t>E. 10</w:t>
      </w:r>
    </w:p>
    <w:p>
      <w:r>
        <w:t>et 11 TFJDA [tarif du 28 avril 2015 des frais judiciaires et des dépens en matière administrative ; BLV 173.36.5.1]). Par ces motifs, le juge unique p r o n o n c e : I. Le recours est admis. II. La décision rendue le 15 octobre 2024 par l’Office de l’assurance-invalidité pour le canton de Vaud est réformée en ce sens que K.________ a droit au versement de l’indemnité d’amortissement pour l’utilisation de son véhicule automobile dans le cadre de son activité salariée durant l’année 2024. III. Les frais judiciaires, arrêtés à 600 fr. (six cents francs), sont mis à la charge de l’Office de l’assurance-invalidité pour le canton de Vaud. IV. L’Office de l’assurance-invalidité pour le canton de Vaud versera à K.________ une indemnité de 1'500 fr. (mille cinq cents francs), à titre de dépens. Le juge unique : Le greffier :</w:t>
      </w:r>
    </w:p>
    <w:p>
      <w:r>
        <w:t>- 11 - Du L'arrêt qui précède est notifié à : - Me Marie Guyot (pour K.________),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