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ZD24.050526 vom 14. April 2025</w:t>
      </w:r>
    </w:p>
    <w:p>
      <w:r>
        <w:t>VD Tribunal cantonal, 2025-04-14, FR</w:t>
      </w:r>
    </w:p>
    <w:p>
      <w:r>
        <w:rPr>
          <w:b/>
        </w:rPr>
        <w:t xml:space="preserve">Quelle: </w:t>
      </w:r>
      <w:r>
        <w:t>https://mcp.opencaselaw.ch/entscheid/vd_gerichte_ZD24.050526</w:t>
      </w:r>
    </w:p>
    <w:p>
      <w:r>
        <w:t>FR: VD_GERICHTE ZD24.050526 du 14 avril 2025</w:t>
      </w:r>
    </w:p>
    <w:p>
      <w:r>
        <w:t>IT: VD_GERICHTE ZD24.050526 del 14 aprile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w:t>
      </w:r>
    </w:p>
    <w:p>
      <w:r>
        <w:t>- 10 - de correction applicables (méthode ordinaire de comparaison des revenus ;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w:t>
      </w:r>
    </w:p>
    <w:p>
      <w:r>
        <w:t>- 11 -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En l’occurrence, dans sa décision du 17 octobre 2024, l’office intimé a octroyé une rente entière d’invalidité au recourant du 1er mai 2023 au 31 octobre 2023. Ce faisant, l’OAI a considéré que, dès juillet 2023, il disposait d’une capacité de travail entière dans une activité adaptée, son préjudice économique, calculé sur cette base, étant inférieur</w:t>
      </w:r>
    </w:p>
    <w:p>
      <w:r>
        <w:t>- 12 - à 40 % pour permettre le maintien du droit à la prestation à compter du 1er novembre 2023. L’office intimé a en outre renoncé à octroyer au recourant des mesures d’ordre professionnel. Cette décision se base sur les rapports médicaux établis par la dermatologue en charge du suivi du recourant au CHUV, la Dre G.________. Lors de sa consultation du 25 juillet 2023, cette médecin a constaté que le recourant était en mesure d’exercer une activité non manuelle/non irritante pour les mains à plein temps. De son côté, le recourant soutient que l’état défaillant de ses mains au long cours constitue une entrave définitive en vue de la reprise de l’exercice d’une quelconque activité lucrative. b) A titre liminaire, il convient de relever que l’office intimé, sur la base des rapports de la Dre G.________ récoltés au dossier, a retenu que seules les atteintes aux mains du recourant étaient encore invalidantes au-delà du mois de juillet 2023. Dans son rapport de consultation du 25 juillet 2023, cette médecin a ainsi constaté que le recourant ne présentait plus d’eczéma ailleurs que sur ses mains ce jour- là, à l’exclusion d’atteintes aux pieds. Dans les rapports médicaux subséquents d’autres médecins, seules des limitations fonctionnelles concernant les mains du recourant sont relevées. Dans son écriture, le recourant ne conteste pas que seules les atteintes à ses mains soient encore invalidantes. Il estime cependant que leur impact sur sa capacité de travail a été sous-estimée par l’office intimé. c) Les médecins consultés par le recourant ne semblent pas unanimes quant au diagnostic qui doit être posé en l’occurrence, un psoriasis palmo-plantaire et un eczéma palmo-plantaire atopique et irritatif (diagnostic différentiel : lichen plan) étant retenus. Or, selon la jurisprudence constante du Tribunal fédéral, ce qui importe pour juger du droit aux prestations dans le cadre de l'assurance-invalidité, ce n’est pas la dénomination diagnostique, mais uniquement les répercussions de l’atteinte à la santé sur la capacité de travail (ATF 136 V 279 consid. 3.2.1 ; TF 9C_289/2022 du 27 juillet 2023 consid. 5.3.2 ; TF 9C_273/2018 du 28</w:t>
      </w:r>
    </w:p>
    <w:p>
      <w:r>
        <w:t>- 13 - juin 2018 consid. 4.2 et les références citées). In casu, les divers traitements dont le recourant a bénéficié à un titre ou l’autre ont permis une diminution des symptômes, mais pas une guérison – les lésions aux mains persistant –, et les médecins sont unanimes quant aux faits que le recourant est tenu d’éviter les activités manuelles et que son activité habituelle d’aide-serrurier n’est plus exigible de sa part. S’agissant de la capacité de travail du recourant dans une activité adaptée aux troubles de ses mains, seuls les Drs G.________ et H.________ se sont déterminés à ce propos. La Dre G.________ a retenu que celle-ci était entière, alors que le Dr H.________, dans ces derniers certificats médicaux, qu’elle était limitée à 20 %. Il apparaît cependant que le Dr H.________ n’a jamais expliqué en quoi l’état de santé du recourant ne se serait pas amélioré, respectivement pour quels motifs médicaux il serait incapable de travailler à un taux supérieur de 20 % dans une activité tenant compte des atteintes aux mains. Le médecin traitant se borne à opposer un avis divergent, fondé sur les plaintes de son patient. Aussi, le Dr H.________ n’objective pas son appréciation de la capacité de travail résiduelle du recourant dans une activité adaptée aux maux persistants touchant ses mains.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Dans ces conditions, il convient de relativiser la portée du contenu des rapports médicaux établis par le Dr H.________. Il suit de là qu’aucun élément au dossier ne permet de retenir, au degré de la vraisemblance prépondérante, que le recourant serait totalement incapable de travailler, ou uniquement à un taux aussi faible qu’attesté par le Dr H.________, compte tenu dorénavant de l’absence de symptômes invalidants touchant ses pieds. Il n’existe pas d’éléments objectifs contredisant les conclusions de la Dre G.________ qui doivent se voir reconnaître une pleine valeur probante.</w:t>
      </w:r>
    </w:p>
    <w:p>
      <w:r>
        <w:t>- 14 - d) En conséquence, l’OAI pouvait se fonder sur l’appréciation de la Dre G.________ pour retenir que, si le recourant n’était plus en mesure de poursuivre son activité habituelle d’aide-serrurier, il était apte à travailler à 100 % dans une activité adaptée à ses limitations fonctionnelles à compter du mois de juillet 2023, moment où l’amélioration de l’état de santé a été constatée.</w:t>
      </w:r>
    </w:p>
    <w:p>
      <w:r>
        <w:rPr>
          <w:b/>
        </w:rPr>
        <w:t>E. 7</w:t>
      </w:r>
    </w:p>
    <w:p>
      <w:r>
        <w:t>Le recourant ne conteste pas le calcul de son préjudice économique effectué sur cette base, lequel peut être confirmé, étant précisé que l’OAI a, à juste titre, procédé à deux calculs distincts, compte tenu de la modification de l’art. 26bis RAI entrée en vigueur le 1er janvier 2024.</w:t>
      </w:r>
    </w:p>
    <w:p>
      <w:r>
        <w:rPr>
          <w:b/>
        </w:rPr>
        <w:t>E. 8</w:t>
      </w:r>
    </w:p>
    <w:p>
      <w:r>
        <w:t>Pour le reste, le recourant ne prétend pas que c’est à tort que l’OAI a renoncé à lui octroyer des mesures d’ordre professionnel. Partant, l’OAI pouvait supprimer la rente entière d’invalidité octroyée au recourant trois mois après l’amélioration de son état de santé, sans interruption notable et sans qu’une complication prochaine soit à craindre (cf. art. 88a al. 1 RAI), en l’espèce au 1er novembre 2023.</w:t>
      </w:r>
    </w:p>
    <w:p>
      <w:r>
        <w:rPr>
          <w:b/>
        </w:rPr>
        <w:t>E. 9</w:t>
      </w:r>
    </w:p>
    <w:p>
      <w:r>
        <w:t>a) En définitive,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 Par ces motifs,</w:t>
      </w:r>
    </w:p>
    <w:p>
      <w:r>
        <w:t>- 15 - la Cour des assurances sociales p r o n o n c e : I. Le recours est rejeté. II. La décision rendue le 17 octobre 2024 par l’Office de l’assurance-invalidité pour le canton de Vaud est confirmée. III. Les frais judiciaires, arrêtés à 600 fr. (six cents francs), sont mis à la charge de B.________. IV. Il n’est pas alloué de dépens. Le président : Le greffier : Du L'arrêt qui précède, dont la rédaction a été approuvée à huis clos, est notifié à : -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- 16 -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