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ZD24.050241 vom 11. Juli 2025</w:t>
      </w:r>
    </w:p>
    <w:p>
      <w:r>
        <w:t>VD Tribunal cantonal, 2025-07-11, FR</w:t>
      </w:r>
    </w:p>
    <w:p>
      <w:r>
        <w:rPr>
          <w:b/>
        </w:rPr>
        <w:t xml:space="preserve">Quelle: </w:t>
      </w:r>
      <w:r>
        <w:t>https://mcp.opencaselaw.ch/entscheid/vd_gerichte_ZD24.050241</w:t>
      </w:r>
    </w:p>
    <w:p>
      <w:r>
        <w:t>FR: VD_GERICHTE ZD24.050241 du 11 juillet 2025</w:t>
      </w:r>
    </w:p>
    <w:p>
      <w:r>
        <w:t>IT: VD_GERICHTE ZD24.050241 del 11 luglio 2025</w:t>
      </w:r>
    </w:p>
    <w:p>
      <w:pPr>
        <w:pStyle w:val="Heading2"/>
      </w:pPr>
      <w:r>
        <w:t>Erwägungen</w:t>
      </w:r>
    </w:p>
    <w:p>
      <w:r>
        <w:rPr>
          <w:b/>
        </w:rPr>
        <w:t>E. 3</w:t>
      </w:r>
    </w:p>
    <w:p>
      <w:r>
        <w:t>Le litige a pour objet le droit de la recourante à une rente de l’assurance-invalidité à la suite de la nouvelle demande déposée le 12 octobre 2021.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- 11 -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ordinaire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L’évaluation du taux d’invalidité des assurés exerçant une activité lucrative est régie par l’art. 16 LPGA. À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w:t>
      </w:r>
    </w:p>
    <w:p>
      <w:r>
        <w:t>- 12 - ménage, ainsi que les soins et l’assistance apportés aux proches (art. 27 al. 1 RAI [règlement du 17 janvier 1961 sur l’assurance-invalidité ; RS 831.201]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d)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w:t>
      </w:r>
    </w:p>
    <w:p>
      <w:r>
        <w:t>- 13 -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[règlement du 17 janvier 1961 sur l’assurance-invalidité ; RS 831.201]).</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- 14 -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- 15 - motivées. Au demeurant, l’élément déterminant pour la valeur probante, n’est ni l’origine du moyen de preuve, ni sa désignation comme rapport ou comme expertise, mais bel et bien son contenu (ATF 134 V 231 consid. 5.1 ; 125 V 351 consid. 3a ; TF 8C_71/2024 du 30 août 2024 consid. 3.3).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il convient de se pencher en premier lieu sur la question du statut de la recourante. Dans le formulaire complété le 12 janvier 2022, l’intéressée a indiqué que, sans atteinte à sa santé, elle exercerait une activité lucrative au taux de 100 %, par nécessité financière. Cependant, avant l’atteinte subie à son membre supérieur droit en 2018, elle travaillait au taux de 80 % auprès de W.________SA. Dans le cadre de l’examen clinique réalisé par le P.________, elle a en outre expliqué qu’elle avait décidé de ne plus travailler au-delà de ce taux, en raison de ses problèmes intestinaux et de la fatigue qu’ils causaient (cf. rapport d’examen clinique pp. 7 et 9). Il est ainsi vraisemblable que sans les atteintes subies à l’épaule droite et aux lombaires, elle serait restée active à 80 %. Ce point n’étant au demeurant pas contesté, le statut de personne active à 80 % et de ménagère à 20 % retenu par l’intimé ne prête pas le flanc à la critique et peut être confirmé.</w:t>
      </w:r>
    </w:p>
    <w:p>
      <w:r>
        <w:rPr>
          <w:b/>
        </w:rPr>
        <w:t>E. 8</w:t>
      </w:r>
    </w:p>
    <w:p>
      <w:r>
        <w:t>Afin d’évaluer les empêchements de la recourante dans l’exercice d’une activité lucrative, il y a lieu d’examiner si, depuis la</w:t>
      </w:r>
    </w:p>
    <w:p>
      <w:r>
        <w:t>- 16 - décision de l’intimé du 17 décembre 2020, son état de santé s’est modifié de façon à influencer sa capacité de travail. a) À la suite d’un accident sur son lieu de travail le 15 mai 2018, l’intéressée a souffert d’une tendinopathie du tendon du long chef du biceps et d’une rupture partielle de la coiffe des rotateurs à l’épaule droite, avec lésion du tendon sus-épineux, traitées chirurgicalement. Ces atteintes ont engendré une incapacité totale de travail dans l’activité habituelle de femme de ménage. En revanche, dès le mois de mars 2020, elle a retrouvé une entière capacité de travail dans une activité adaptée, moyennant le respect des limitations fonctionnelles suivantes : pas de mouvements répétitifs ni d’activité avec le bras au- dessus de la tête et pas de port de charges supérieures à cinq kilogrammes. b) Dans le cadre de la procédure relative à la nouvelle demande de prestations du 12 octobre 2021, la recourante a fait l’objet d’un rapport d’examen clinique du P.________ sur les plans rhumatologique et psychiatrique. aa) Sur le plan somatique, le P.________ a retenu le diagnostic incapacitant principal de lombopygalgies gauches non déficitaires, dans un contexte de protrusion discale L5-S1, rentrant en contact avec l’émergence de la racine S1, avec un remaniement de type modic 1 et la présence de troubles dégénératifs articulaires postérieurs étagés. Au titre de diagnostics incapacitants associés, il a retenu des douleurs chroniques à l’épaule droite, avec un status post-réparation de la coiffe des rotateurs et la présence d’une arthrose acromio-claviculaire. Le P.________ a estimé que l’atteinte au membre supérieur droit avait entraîné une incapacité de travail de 50 % dans l’activité habituelle dès le 19 janvier 2022. L’incapacité de travail était totale dès le 14 juin 2022 en raison de l’atteinte lombaire subie à la suite d’une chute, ayant rendu impossible l’exercice du métier de femme de ménage. En revanche, une activité</w:t>
      </w:r>
    </w:p>
    <w:p>
      <w:r>
        <w:t>- 17 - adaptée pouvait être exigée de la recourante au taux de 75 % dès le 25 novembre 2022. bb) Sur le plan psychiatrique, le P.________ a retenu le diagnostic de troubles anxieux et dépressifs mixtes succédant à un trouble de l’adaptation, réaction mixte anxieuse et dépressive (F41.2). Cette pathologie n’avait pas d’incidence sur la capacité de travail. c) Il sied en premier lieu de constater que, sur le plan formel, le rapport d’examen du 24 juillet 2023 satisfait aux réquisits auxquels la jurisprudence soumet la valeur probante de tels documents. Les Drs R.________ et X.________ ont eu accès à l’ensemble des pièces versées au dossier de la cause qu’ils ont dûment analysées et résumées. Chacun d’eux a examiné individuellement l’intéressée. Leur rapport fait en outre état des plaintes de celle-ci et des anamnèses familiale, scolaire et professionnelle, psychosociale, somatique et psychiatrique. Chaque médecin a exposé le résultat de son examen clinique, puis ils ont procédé à une appréciation consensuelle du cas. Ils ont par ailleurs répondu aux questions qui leur avaient été soumises, décrivant les diagnostics, les limitations fonctionnelles et l’incapacité de travail retenus. d) Cela étant, il n’y a pas lieu de s’écarter des conclusions de cet examen clinique, lequel doit se voir reconnaître une pleine valeur probante. aa) Sur le plan somatique, les diagnostics posés par le P.________ se recoupent avec ceux retenus par le rhumatologue de la recourante concernant le membre supérieur droit (cf. rapport du Dr G.________ du 15 février 2022) et par son chirurgien orthopédiste en lien avec l’atteinte lombaire subie en juin 2022 (cf. rapport du Dr H.________ du 1er décembre 2022), de sorte qu’ils ne prêtent pas le flanc à la critique. S’agissant de leur incidence sur la capacité de travail de l’intéressée, l’appréciation du P.________ peut également être confirmée. Il résulte en effet des pièces médicales au dossier qu’une recrudescence des</w:t>
      </w:r>
    </w:p>
    <w:p>
      <w:r>
        <w:t>- 18 - omalgies a nécessité une infiltration acromio-claviculaire réalisées le 19 janvier 2022 par le Dr G.________, lequel a estimé la capacité de travail dans l’activité habituelle à 50 %. Puis, au mois de juin 2022, une chute a engendré des fractures en D12 et L1. Le traitement de ces lésions a été conservateur, sous la forme du port d’un corset. En octobre 2022, le Dr H.________ constatait une évolution favorable, avec une nette amélioration de la symptomatologique douloureuse et de la marche. Le corset a pu être enlevé et la seule antalgie encore prise était du Dafalgan. Par la suite, d’une consultation du 25 novembre 2022, le Dr H.________ a constaté que les douleurs étaient à nouveau plus intenses. L’IRM du 16 novembre 2022, a mis en évidence une discopathie en L5-S1 modérée, une petite protrusion en L4-L5 et une petite hernie discale en L3-L4. De son côté, à l’examen clinique, le P.________ a pu objectiver la symptomatologie douloureuse rapportée par l’intéressée. Il a ainsi pu constater que la mobilité lombaire était restreinte en flexion et en extension et que des douleurs multi-étagées étaient ressenties sur tout le rachis dorso-lombaire de D7 jusqu’en L5 (cf. rapport d’examen clinique du P.________ pp. 19 et 24). Il n’est ni contesté ni contestable que les atteintes au membre supérieur droit, auxquelles se sont ajoutées les atteintes au rachis lombaire, sont incompatibles avec le métier de femme de ménage, au vu des douleurs constatées tant par les médecins traitants de la recourante qu’à l’examen clinique du P.________. S’agissant de l’exercice d’une activité adaptée, les limitations fonctionnelles ont été fixées comme il suit : pas de mouvements répétés de flexion-extension du tronc, pas d’attitude prolongée en porte-à-faux, pas de position assise ou debout prolongée au-delà de quarante-cinq minutes, pas de position debout au- delà de vingt minutes et pas de marche sans s’arrêter du delà du kilomètre, pas de travail prolongé de l’épaule droite au-dessus de 90° et pas de mouvements d’abduction-adduction du membre supérieur droit. Dans la mesure où elles consistent essentiellement en des mesures usuelles d’épargne du rachis et du membre supérieur droit, il y a lieu d’admettre, à l’instar du P.________ et du Dr G.________, que l’exercice d’une activité adaptée peut être exigée. Il ne fait en effet aucun doute que</w:t>
      </w:r>
    </w:p>
    <w:p>
      <w:r>
        <w:t>- 19 - de telles restrictions permettent l’accomplissement d’une activité lucrative légère, par exemple le montage, le contrôle ou la surveillance d’un processus de production, le métier d’ouvrière à l’établi dans un domaine simple et léger ou d’ouvrière dans le conditionnement, ou encore en qualité d’aide-administrative (réception, scannage et autres). Concernant le taux d’activité exigible, le Dr G.________ a estimé que sa patiente avait conservé une entière capacité de travail dans une activité adaptée. Cependant, compte tenu des douleurs lombaires objectivées à l’examen clinique du P.________ et des importantes limitations fonctionnelles en découlant, il paraît vraisemblable que la capacité de travail dans une activité adaptée ne soit pas entière. Le taux de 75 % fixé par le P.________ permet de tenir compte des fortes douleurs ressenties et des multiples limitations fonctionnelles affectant l’intéressée. Il paraît dès lors mieux adapté à la situation de la recourante. Le P.________ a en outre estimé, à juste titre, que cette capacité résiduelle de travail était exigible dès le 25 novembre 2022. À cette date, le Dr H.________ a constaté que l’examen clinique radiologique était tout à fait satisfaisant. Aucune prise en charge chirurgicale n’était indiquée. Il a uniquement proposé une infiltration afin de faire passer la symptomatologie douloureuse (cf. rapport de ce médecin du 1er décembre 2022). Il y a dès lors lieu d’admettre que le 25 novembre 2022 correspond à la date de la stabilisation de l’atteinte lombaire. On relèvera à cet égard que si la recourante a évoqué une chirurgie en juillet 2023, elle n’en a pas apporté la preuve, ni auprès de l’office intimé, ni dans le cadre de la procédure de recours. Partant, il y a lieu d’admettre que, dès le 25 novembre 2022, son état de santé physique lui permettait d’exercer une activité adaptée à ses limitations fonctionnelles au taux de 75 %. bb) Sur le plan psychique, le P.________ s’est écarté des avis des médecins traitants de la recourante en posant le diagnostic de troubles anxieux et dépressifs mixtes succédant à un trouble de l’adaptation réaction mixte anxieuse et dépressive (F41.2).</w:t>
      </w:r>
    </w:p>
    <w:p>
      <w:r>
        <w:t>- 20 - Il a expliqué que, s’agissant de la période à laquelle la prise en charge psychiatrique avait débuté, c’est-à-dire en juillet 2021, il rejoignait le Dr Q.________ et estimait que la recourante souffrait effectivement d’un trouble de l’adaptation avec réaction mixte et anxieuse. Ce diagnostic concordait avec les crises d’angoisses et les dyspnées, la baisse de la thymie, l’humeur fluctuante, la perte de l’élan vital, l’anhédonie et le manque de motivation alors verbalisés par l’intéressée (cf. rapport d’examen du P.________ p. 22). Un tel trouble ne perdurait cependant pas au-delà de six mois, raison pour laquelle ce diagnostic ne pouvait plus être retenu après l’écoulement de ce délai. Aux dires des médecins du P.________, la symptomatologie était par ailleurs insuffisante pour retenir le diagnostic de réaction dépressive prolongée, et encore moins d’épisode dépressif sévère sans symptômes psychotiques. Les conditions pour retenir un épisode dépressif, même léger, n’étaient pas réalisées. Cela aurait nécessité que la recourante présente deux des trois critères majeurs relevant d’une telle pathologie, c’est-à-dire une tristesse prolongée voire permanente, une fatigue permanente et une diminution de l’activité ou du plaisir. Or, à l’examen clinique, aucun de ces symptômes n’avaient été constatés. Les déclarations de l’intéressée lors de l’anamnèse ne permettaient pas non plus de conclure qu’elle présentait deux de ces symptômes. Elle avait décrit une humeur fluctuante, mais non une tristesse prolongée et avait conservé du plaisir dans des activités, restées les mêmes depuis l’apparition de son trouble. Concernant la fatigue, elle avait également évoqué une symptomatologie fluctuante, absente certains jours lorsque le sommeil avait été de bonne qualité. Les rapports du Dr Q.________ n’avaient objectivé aucun élément sur l’état de l’énergie et ne faisaient pas non plus état d’une diminution de l’activité ou du plaisir, seule une humeur fluctuante étant à nouveau mise en évidence, à l’exclusion d’une tristesse prolongée. Le rapport du Dr Z.________ de juillet 2023 n’apportait pas un éclairage différent. Ce médecin avait repris les déclarations de sa patiente sans préciser si la tristesse et l’humeur étaient fluctuantes ou permanentes et ne s’était pas prononcé sur les activités procurant du</w:t>
      </w:r>
    </w:p>
    <w:p>
      <w:r>
        <w:t>- 21 - plaisir et leur maintien. S’agissant des critères mineurs révélateurs d’une dépression, la recourante conservait essentiellement une vision pessimiste de l’avenir concernant son état de santé et les éventuels problèmes financiers qui pourraient advenir. Elle n’avait toutefois pas décrit d’idées de dévalorisation, ni de culpabilité, éléments qui n’avaient pas non plus été constatés cliniquement durant l’examen. Elle avait mentionné des troubles de l’appétit, mais en l’absence de perte de poids récente et au vu des restrictions diététiques qu’elle s’imposait dans le but de maigrir, il ne se justifiait pas de retenir un quelconque trouble. Les troubles du sommeil, liés aux douleurs, ne relevaient pas de la sphère psychiatrique. Il en allait de même de la libido, qui était très diminuée depuis dix ans et n’apparaissait pas liée à un trouble psychiatrique. Le P.________ a pour le surplus affirmé que l’examen n’avait laissé apparaître aucun ralentissement moteur, trouble de l’attention, trouble de la concentration ou trouble de la mémoire, même au cours des vingt dernières minutes pendant lesquelles la recourante avait bâillé (cf. rapport d’examen clinique pp. 22-23). Partant, l’appréciation diagnostique du P.________, dûment motivée, claire et complète, est convaincante. Il en va de même de son appréciation du caractère incapacitant de l’atteinte psychiatrique. Il résulte du rapport d’examen clinique que la journée type de la recourante comprend beaucoup de repos (au lit, au salon assise ou allongée) et peu d’activités : télévision, Internet, communication avec des membres de la famille restés en [...] via Facebook ou Messenger, quelques petites activités ménagères et une ou deux promenades. Le P.________ a cependant relevé que la recourante ne présentait pas de fatigue, hormis lorsque son sommeil était perturbé par la symptomatologie douloureuse. Il a également souligné que les centres d’intérêts de l’intéressée avaient toujours été limités et n’avaient pas évolué, celle-ci n’ayant jamais eu de véritables loisirs hormis la cuisine et le temps passé en famille. Elle ne peut plus cuisiner comme elle le souhaiterait, à cause des douleurs causées par ses atteintes physiques et non en raison de sa santé psychique (cf. rapport d’examen clinique pp. 13- 14 ; cf. également rapport du Dr Q.________ du 31 mars 2022). Sa pathologie psychique ne l’a en outre pas empêchée de maintenir des liens</w:t>
      </w:r>
    </w:p>
    <w:p>
      <w:r>
        <w:t>- 22 - étroits avec les membres de sa famille qu’elle voit régulièrement (cf. rapport d’examen clinique pp. 21-22). Il s’ensuit que le quotidien peu rythmé de la recourante n’est pas en lien avec sa santé psychique, mais résulte de son mode de vie, demeuré le même. S’agissant des activités habituelles, les tâches ménagères avaient été concédées à la fille de l’intéressée dès 2018, pour des raisons somatiques, et n’avaient pas évolué en raison de la symptomatologie psychique. L’autonomie dans la vie quotidienne était globalement conservée, en dehors des tâches ménagères les plus lourdes (aspirateur, panosse, grandes lessives, préparation du souper) réalisées en commun avec sa fille (rapport d’examen clinique p. 21). La recourante a parfois des moments de tension motrice avec plus rarement des céphalées et dyspnées, mais a pris l’habitude de sortir se promener ou prendre un café à l’extérieur pour faire passer ces épisodes, lesquels sont très épisodiques et en général de courte durée (inférieure à une heure). Elle ne présente aucune phobie sociale, peut sans problème faire ses courses et prendre les transports publics, même en situation de foule. La tristesse fluctuante décrite depuis janvier 2021, augmentée avec les douleurs et le matin lorsqu’elle est seule, disparaissent lorsqu’elle est en famille. Un sentiment de détresse fluctuant est présent essentiellement la nuit, lorsque les douleurs l’empêchent de dormir (cf. rapport d’examen clinique p. 11). Concernant les ressources, le P.________ a souligné un réseau social étendu. La recourante voit sa sœur aînée plusieurs fois par semaine et le reste de sa fratrie, excepté son frère qui vit à [...], au moins une fois par semaine. Elle voit également son fils hebdomadairement, souvent plus. Elle garde parfois avec plaisir ses petits-enfants pour la journée. Elle a une amie en Suisse, d’origine [...]; elles se rencontrent au minimum une fois par semaine (cf. rapport d’examen clinique pp. 9 et 21-22). Le P.________ s’est référé au rapport du Dr Z.________ du 4 juillet 2023, lequel</w:t>
      </w:r>
    </w:p>
    <w:p>
      <w:r>
        <w:t>- 23 - avait souligné les efforts de sa patiente pour se mobiliser et sa remarquable capacité à endurer son quotidien et ménager ses enfants. Aucune incohérence n’a pour le surplus été relevée dans les déclarations de l’intéressée. L’ensemble des éléments qui précèdent ont conduit le P.________ à retenir que la pathologie psychique de la recourante n’était pas incapacitante, comme cela est d’ailleurs généralement le cas pour des troubles anxieux et dépressifs mixtes (cf. rapport d’examen p. 23). Son appréciation, dûment motivée, claire et convaincante, ne prête pas le flanc à la critique et peut être suivie. L’évaluation du P.________ n’est en outre pas sérieusement remise en cause par d’autres éléments médicaux du dossier. Le tableau dépeint par le Dr Z.________ dans son rapport du 4 juillet 2023, lequel a mentionné des troubles de la concentration et du sommeil, une asthénie, une anhédonie, une tristesse, un sentiment d’impasse et d’absence de perspectives de l’avenir et des idéations suicidaires par moments prégnantes, est certes plus sombre que celui résultant de l’évaluation du P.________. Ce médecin s’est cependant limité à lister une symptomatologie, dont il ne décrit ni l’intensité, ni la temporalité. Le caractère incapacitant n’est pas non plus analysé, l’incapacité de travail totale retenue par ce spécialiste ne reposant sur aucun élément médical objectif. Il en va de même de l’appréciation du Dr Q.________ du 31 mars 2022, qui évoque une perte de l’élan vital avec une anhédonie, une démotivation, une tendance au retrait social, une anxiété éprouvée sur le plan physique et une incapacité à assumer les activités de la vie quotidienne. Ce médecin s’est limité à rapporter les déclarations de sa patiente, sans établir un véritable status psychiatrique détaillé, comme le lui avait demandé l’intimé dans les questions formulées à son attention. e) Pour le surplus, il n’apparaît pas que la recourante présenterait d’autres pathologies incapacitantes.</w:t>
      </w:r>
    </w:p>
    <w:p>
      <w:r>
        <w:t>- 24 - aa) Sur le plan cardiologique, elle présente une ischémie de stress légère à modérée et une maladie des petits vaisseaux (cf. rapports du Dr E.________ des 3 décembre 2021 et 21 janvier 2022). Aucune incapacité de travail ou limitation fonctionnelle en lien avec ces pathologies n’ont été indiquées par ce spécialiste. Le Dr T.________, du P.________, sur la base des rapports du Dr E.________, n’a pas non plus retenu quelque empêchement que ce soit (cf. avis médical du 1er décembre 2022). De même, les céphalées iatrogènes se sont amandées après un changement de médication et n’ont entraîné aucune incapacité de travail. Les spécialistes consultés en raison de ces migraines n’ont pour le surplus diagnostiqué aucune pathologie ophtalmique ou neurologique (cf. rapports du Dr W.________ du 24 avril 2022 et du Dr F.________ du 18 juillet 2022 ; cf. également avis du Dr T.________ du P.________ du 1er décembre 2022). Il semblerait que la recourante ait souffert d’une bursite pré- patellaire affectant son genou droit (cf. IRM du 8 mai 2023). À nouveau, aucun de ses médecins traitants n’a cependant attesté d’une quelconque incapacité de travail en lien avec cette atteinte. En lien avec les diarrhées chroniques avec douleurs abdominales dans un contexte de status après colectomie subtotale subie en 2001, le Dr S.________ n’a signalé aucun empêchement. Cependant, compte tenu du caractère urgent et récurrent des diarrhées dont souffre la recourante, il y a lieu d’admettre, avec ce médecin, que l’activité adaptée qui peut encore être attendue d’elle doit s’exercer dans un endroit disposant d’un accès facilité aux sanitaires. Sur le plan pneumologique, il semblerait que la recourante souffre d’apnée du sommeil (cf. rapport du Dr Z.________ du 4 juillet 2023). Aucun médecin traitant n’a cependant fourni d’explications en lien avec cette atteinte ni n’a mentionné celle-ci comme incapacitante.</w:t>
      </w:r>
    </w:p>
    <w:p>
      <w:r>
        <w:t>- 25 - bb) S’agissant des documents médicaux produits par la recourante dans le cadre de la présente procédure, ils font état d’atteintes apparues postérieurement à la décision litigieuse. Or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148 V 21 consid. 5.3 ; 144 V 210 consid. 4.3.1). f) Sur le vu de ce qui précède, il convient en définitive de retenir que depuis la dernière décision de l’OAI du 17 décembre 2020, la capacité de travail dans l’activité habituelle de femme de ménage n’a pas évolué. Elle est demeurée nulle. S’agissant de la capacité de travail dans une activité adaptée, elle était auparavant exigible à 100 %, alors qu’elle est de 75 % depuis le 25 novembre 2022. Aux limitations fonctionnelles retenues par le P.________, suivi par l’OAI, il convient d’ajouter que la recourante doit pouvoir accéder facilement aux sanitaires.</w:t>
      </w:r>
    </w:p>
    <w:p>
      <w:r>
        <w:rPr>
          <w:b/>
        </w:rPr>
        <w:t>E. 9</w:t>
      </w:r>
    </w:p>
    <w:p>
      <w:r>
        <w:t>Cela étant constaté, il convient de déterminer le taux d’invalidité de la recourante.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w:t>
      </w:r>
    </w:p>
    <w:p>
      <w:r>
        <w:t>- 26 -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aa) Le revenu sans invalidité (art. 16 LPGA) est en principe déterminé en fonction du dernier revenu de l’activité lucrative effectivement réalisé avant la survenance de l’invalidité (art. 26 al. 1, première phrase, RAI). Si celui-ci ne peut pas être déterminé ou ne peut pas l’être avec suffisamment de précision, le revenu sans invalidité est fixé sur la base des valeurs statistiques visées à l’art. 25 al. 3 RAI pour une personne ayant la même formation et une situation professionnelle correspondante (art. 26 al. 4 RAI), lequel doit être adapté à son évolution vraisemblable jusqu’au moment déterminant de la naissance éventuelle du droit à la rente, sur la base de l’évolution des salaires nominaux (ATF 144 I 103 consid. 5.3 ; 134 V 322 consid. 4.1 ; TF 8C_659/2022 &amp; 8C_707/2022 du 2 mai 2023 consid. 4.2.1 et les références). bb)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w:t>
      </w:r>
    </w:p>
    <w:p>
      <w:r>
        <w:t>- 27 -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b) En l’occurrence, l’année déterminante pour la comparaison des revenus est 2023, puisque la recourante a présenté une aggravation de son état de santé dès le mois de janvier 2022 (cf. art. 28 al. 1 let. b LAI). Dès 2020, l’intéressée a exercé comme femme de ménage, au taux réduit de 20 %. Les revenus provenant de cette activité ne sont donc pas représentatifs de ce que pourraient être ses gains sans atteinte à la santé. Il convient dès lors de calculer le revenu sans invalidité à l’aune des tableaux TA1_skill-level de l’Enquête suisse sur la structure des salaires (ESS). Il résulte des données de l’année 2022, applicables en l’espèce, que le salaire auquel pouvaient prétendre les femmes dans des activités manuelles simples était de 4'367 fr. pour une semaine de 40 heures. Compte tenu d’une durée hebdomadaire moyenne de travail de 41,7 heures cette année-là dans ce secteur d’activité (cf. OFS, Durée normale du travail dans les entreprises selon la division économique [NOGA 2008], en heures par semaine, T 03.02.03.01.04.01), le revenu annuel sans invalidité, indexé à 2023, se monte à 55'614 fr. 53. En ce qui concerne le revenu avec invalidité, il sied également de l’estimer à l’aide de l’ESS, l’assurée n’ayant pas repris d’activité lucrative. Partant, celui-ci se monte à 41'710 fr. 90 au regard d’une capacité résiduelle de 75 %. L’OAI peut être suivi lorsqu’il n’a effectué aucun abattement supplémentaire, dans la mesure où dans son évaluation de la capacité de travail, le P.________ a d’ores et déjà tenu compte des limitations fonctionnelles de la recourante.</w:t>
      </w:r>
    </w:p>
    <w:p>
      <w:r>
        <w:t>- 28 - Il résulte de la comparaison du revenu sans invalidité de 55'614 fr. 53 au revenu d’invalide de 41'710 fr. 90 un degré d’invalidité de 25 %.</w:t>
      </w:r>
    </w:p>
    <w:p>
      <w:r>
        <w:rPr>
          <w:b/>
        </w:rPr>
        <w:t>E. 10</w:t>
      </w:r>
    </w:p>
    <w:p>
      <w:r>
        <w:t>a) En ce qui concerne la part que la recourante consacre à l’accomplissement de ses travaux habituels, aucun empêchement n’a été retenu par l’intimé. aa) En l’occurrence, la recourante vit dans un appartement de trois pièces et demi avec sa fille majeure, qui est célibataire, sans enfants et professionnellement active. Dans le cadre de l’examen clinique du P.________, elle a déclaré qu’elle s’occupait de faire le ménage hebdomadairement (aspirateur, panosse, salle de bains). Elle réalise quelques petits nettoyages entre deux ménages, tel que passer la panosse ou nettoyer les plaques de cuisson, par tranches de dix minutes. L’appartement est équipé d’un lave-vaisselle, que chacune remplit et vide. Sa fille fait la lessive, elle-même étant capable de plier son linge. Les grosses courses sont faites une fois par semaine à deux, la recourante faisant quotidiennement des petits achats de dépannage. La semaine, elle se prépare rapidement un repas à midi, souvent des sandwiches. Le soir, c’est sa fille qui cuisine. Les week-ends elles cuisinent ensemble (cf. rapport d’examen du P.________ pp. 13 et 14). bb) Les renseignements fournis par la recourante sont suffisants pour se prononcer sur le taux d’empêchement dans l’accomplissement de ses travaux habituels, en dépit de l’absence d’enquête réalisée à domicile (cf. art. 69 al. 2 RAI), qui constitue généralement une base appropriée pour évaluer les empêchements dans l’accomplissement des travaux habituels (cf. ATF 140 V 543 consid. 3.2.1). Il en résulte en effet que si la recourante ne peut plus accomplir l’entier des tâches ménagères, sa fille lui apporte toute l’aide exigible dans ce domaine. Il s’ensuit que l’absence d’empêchement retenu par l’intimé, qui n’est du reste pas contesté, peut être confirmé.</w:t>
      </w:r>
    </w:p>
    <w:p>
      <w:r>
        <w:t>- 29 -</w:t>
      </w:r>
    </w:p>
    <w:p>
      <w:r>
        <w:rPr>
          <w:b/>
        </w:rPr>
        <w:t>E. 11</w:t>
      </w:r>
    </w:p>
    <w:p>
      <w:r>
        <w:t>Sur le vu de ce qui précède, le degré d’invalidité global de la recourante se monte à 20 % ([25 x 0,8] + [0 x 0,2]), comme l’a retenu à juste titre l’intimé. Situé en dessous du seuil minimal donnant le droit à une rente de l’assurance-invalidité, la décision de refus de prester de l’intimé doit être confirmée.</w:t>
      </w:r>
    </w:p>
    <w:p>
      <w:r>
        <w:rPr>
          <w:b/>
        </w:rPr>
        <w:t>E. 12</w:t>
      </w:r>
    </w:p>
    <w:p>
      <w:r>
        <w:t>Le dossier est complet et permet à la Cour de céans de statuer en pleine connaissance de cause. Des mesures d’instruction complémentaires sur le plan médical ne sont dès lors pas nécessaires, dans la mesure où elles ne seraient pas de nature à modifier les considérations qui précèdent, les faits pertinents ayant pu être constatés à satisfaction de droit (appréciation anticipée de la pertinence des preuves : ATF 145 I 167 consid. 4.1 ; 140 I 285 consid. 6.3.1).</w:t>
      </w:r>
    </w:p>
    <w:p>
      <w:r>
        <w:rPr>
          <w:b/>
        </w:rPr>
        <w:t>E. 13</w:t>
      </w:r>
    </w:p>
    <w:p>
      <w:r>
        <w:t>a) En définitive, mal mondé,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