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ZD24.049749 vom 6. Januar 2025</w:t>
      </w:r>
    </w:p>
    <w:p>
      <w:r>
        <w:t>VD Tribunal cantonal, 2025-01-06, FR</w:t>
      </w:r>
    </w:p>
    <w:p>
      <w:r>
        <w:rPr>
          <w:b/>
        </w:rPr>
        <w:t xml:space="preserve">Quelle: </w:t>
      </w:r>
      <w:r>
        <w:t>https://mcp.opencaselaw.ch/entscheid/vd_gerichte_ZD24.049749</w:t>
      </w:r>
    </w:p>
    <w:p>
      <w:r>
        <w:t>FR: VD_GERICHTE ZD24.049749 du 6 janvier 2025</w:t>
      </w:r>
    </w:p>
    <w:p>
      <w:r>
        <w:t>IT: VD_GERICHTE ZD24.049749 del 6 gennaio 2025</w:t>
      </w:r>
    </w:p>
    <w:p>
      <w:pPr>
        <w:pStyle w:val="Heading2"/>
      </w:pPr>
      <w:r>
        <w:t>Erwägungen</w:t>
      </w:r>
    </w:p>
    <w:p>
      <w:r>
        <w:rPr>
          <w:b/>
        </w:rPr>
        <w:t>E. 3</w:t>
      </w:r>
    </w:p>
    <w:p>
      <w:r>
        <w:t>a) A l’appui de sa demande de révision, le requérant a fait valoir qu’il ignorait, avant que l’arrêt du 26 septembre 2024 soit rendu, qu’une quatrième intervention chirurgicale serait nécessaire, de sorte que l’organisation de celle-ci à fin octobre 2024 pour le 1er novembre 2024 constituait un fait ou moyen de preuve important qui démontrait ses allégations relatives au risque d’aggravation qu’il présentait. A ses yeux,</w:t>
      </w:r>
    </w:p>
    <w:p>
      <w:r>
        <w:t>- 13 - cet élément était propre à modifier l’appréciation de l’autorité de céans quant à l’octroi de la rente d’invalidité ou au taux d’invalidité, l’arrêt attaqué retenant que son état de santé s’était stabilisé après la troisième chirurgie lombaire. b) Il convient de relever préliminairement que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Dans l’arrêt visé par la demande de révision, la Cour de céans statuait sur le recours déposé par le requérant contre la décision de refus de prestations rendue par l’intimé le 8 juin 2023. La Cour n’avait donc pas à prendre en compte d’éléments de fait postérieurs à cette date. Or, le fait apporté par le requérant à l’appui de sa demande de révision est la programmation, le 24 octobre 2024, d’une nouvelle intervention chirurgicale pour le 1er novembre 2024. Il s’agit donc d’éléments non seulement postérieurs à l’arrêt du 26 septembre 2024, mais également largement postérieurs à la décision du 8 juin 2023. Ils ne peuvent donc justifier en soi une révision de l’arrêt du 26 septembre 2024. Reste à déterminer s’ils constituent un moyen de preuve pertinent pour prouver l’état de fait existant au 8 juin 2023. c) Le requérant se prévaut ainsi d’un moyen de preuve nouveau, susceptible de démontrer l’allégation présentée dans son recours, selon laquelle son état de santé n’était pas stabilisé au moment de la décision. Cet argument tombe à faux. Il est constant que le requérant souffre de lombalgies chroniques résultant de troubles dégénératifs connus de longue date puisqu’ils avaient déjà motivé une première demande de prestations de l’assurance-invalidité en avril 2015. S’agissant</w:t>
      </w:r>
    </w:p>
    <w:p>
      <w:r>
        <w:t>- 14 - de la demande de prestations déposée en décembre 2021, l’intimé a d’abord interrogé les médecins traitants, puis a sollicité l’avis du Dr Z.________ pour déterminer la capacité de travail objective du requérant. Le spécialiste du SMR a communiqué ses conclusions le 16 janvier 2023, fondées non seulement sur un examen du requérant mais également sur l’ensemble des pièces médicales versées au dossier de l’intimé, parmi lesquelles figuraient notamment les rapports de consultations et protocoles opératoires établis en temps réels entre 2019 et 2021 par le Dr L.________. Le fait qu’une quatrième intervention pourrait se révéler nécessaire à l’avenir ressortait des derniers rapports postopératoires, puisque le Dr L.________ exposait qu’une douleur paravertébrale persistait après la troisième intervention, possiblement liée à la présence d’une vis localisée au niveau iliaque droit, mais qu’il avait été renoncé à une nouvelle révision chirurgicale dans la mesure où la symptomatologie était décrite comme supportable par le patient. En présence d’une atteinte dégénérative, le risque d’une aggravation à moyen ou long terme est notoire. Cette problématique n’a évidemment pas échappé au Dr Z.________, qui a néanmoins constaté une stabilisation de la situation après six mois postopératoires de la troisième intervention et a posé un pronostic « moyen » concernant l’évolution probable de l’état de santé. Après avoir eu connaissance du projet de décision de l’intimé, le requérant a produit un nouveau rapport du Dr L.________ daté de mai 2023. Le spécialiste traitant n’y faisait pas état d’une péjoration de l’état de santé du requérant depuis ses précédentes évaluations. Le recours auprès de la Cour de céans était fondé sur ce même rapport. Or, conformément à l’art. 28 al. 1 LAI (loi fédérale du 19 juin 1959 sur l’assurance-invalidité ; RS 831.20), le droit à une rente d’invalidité existe si la personne concernée présente une incapacité de travail d’au moins 40 % depuis plus d’une année et se trouve, au terme de cette année, invalide à 40 % au moins, le droit à la rente prenant cependant naissance au plus tôt à l’échéance d’une période de six mois à compter de la date du dépôt de la demande de prestations (art. 29 al. 1 LAI). Des aggravations ou améliorations notables du taux d’invalidité peuvent ensuite justifier une révision du droit à la rente dès qu’elles ont</w:t>
      </w:r>
    </w:p>
    <w:p>
      <w:r>
        <w:t>- 15 - duré trois mois sans amélioration notable (art. 88a RAI [règlement fédéral du 17 janvier 1961 sur l’assurance-invalidité ; RS 831.201]). En d’autres termes, une fois les délais d’attentes des art. 28 al. 1 et 29 al. 1 LAI échus, la situation est considérée comme stable lorsqu’elle a duré trois mois sans interruption notable. Ainsi, le fait que l’état de santé du requérant se soit dégradé postérieurement à la décision du 8 juin 2023, respectivement qu’une quatrième intervention se soit concrétisée en novembre 2024, ne saurait remettre en cause le constat d’un état de santé resté relativement identique entre février 2022 et juin 2023, donc stable du point de vue du droit à la rente. Pour le surplus, le grief selon lequel la probabilité de péjoration à moyen terme de son état de santé n’aurait pas été suffisamment pris en compte dans l’évaluation de sa capacité de travail revient à solliciter une appréciation différente d’un même état de fait, ce qui ne peut justifier une révision. d) Le requérant a aussi fait valoir que le risque de péjoration, désormais avéré compte tenu de la quatrième opération programmée, devait justifier un abattement plus important sur le revenu statistique pour fixer le revenu sans invalidité. Ce faisant, le requérant tend également à obtenir une nouvelle appréciation juridique de faits déjà connus. La Cour de céans a procédé à un calcul du préjudice économique en appliquant, sur le revenu statistique pertinent pour établir le revenu avec invalidité, un abattement de 10 % afin de tenir compte des limitations fonctionnelles et du taux d’activité, en application de la jurisprudence topique. Savoir si un abattement plus important s’imposait compte tenu d’autres circonstances ne peut être discuté dans le cadre d’une révision.</w:t>
      </w:r>
    </w:p>
    <w:p>
      <w:r>
        <w:rPr>
          <w:b/>
        </w:rPr>
        <w:t>E. 4</w:t>
      </w:r>
    </w:p>
    <w:p>
      <w:r>
        <w:t>a) Il s’ensuit que la demande de révision de l’arrêt rendu par la Cour de céans le 26 septembre 2024 (AI 214/23 – 311/2024) doit être rejetée.</w:t>
      </w:r>
    </w:p>
    <w:p>
      <w:r>
        <w:t>- 16 - b) Il est renoncé à la perception de frais judiciaires au vu des circonstances (art. 50 LPA-VD).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