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ZD24.046576 vom 12. Mai 2025</w:t>
      </w:r>
    </w:p>
    <w:p>
      <w:r>
        <w:t>VD Tribunal cantonal, 2025-05-12, FR</w:t>
      </w:r>
    </w:p>
    <w:p>
      <w:r>
        <w:rPr>
          <w:b/>
        </w:rPr>
        <w:t xml:space="preserve">Quelle: </w:t>
      </w:r>
      <w:r>
        <w:t>https://mcp.opencaselaw.ch/entscheid/vd_gerichte_ZD24.046576</w:t>
      </w:r>
    </w:p>
    <w:p>
      <w:r>
        <w:t>FR: VD_GERICHTE ZD24.046576 du 12 mai 2025</w:t>
      </w:r>
    </w:p>
    <w:p>
      <w:r>
        <w:t>IT: VD_GERICHTE ZD24.046576 del 12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la recourante a contesté la décision de l’OAI du 19 septembre 2024 par un courrier du 10 octobre 2024 à la CCVD, que cette dernière a transmis le 16 octobre 2024 à la Cour de céans comme objet de sa compétence. Dès lors, déposé en temps utile auprès d’un organe de mise en œuvre des assurances sociales (cf. art. 30 LPGA), et respectant les autres conditions formelles prévues par la loi (art. 61 let. b LPGA notamment), le recours est recevable. c) Vu la valeur litigieuse inférieure à 30’000 fr., la cause est de la compétence d’un membre de la Cour, statuant en tant que juge unique (art. 94 al. 1 let. a LPA-VD [loi cantonale vaudoise du 28 octobre 2008 sur la procédure administrative ; BLV 173.36]). On précise à cet égard que contrairement à ce que soutient l’OAI dans sa réponse du 11 novembre 2024, la valeur litigieuse correspond à la valeur d’une rente pour enfant en faveur de C.________ pour deux mois, c’est-à-dire les mois d’août et septembre 2024, ce qui correspond à un montant de 358 francs vu les pièces du dossier. Elle ne s’élève donc pas à 10 francs comme le soutient l’OAI dans sa réponse, dès lors que ni ce dernier, ni la CCVD ne remettent en cause le fait de devoir quoi qu’il en soit payer un montant de 348 fr. « à la fratrie », ainsi que cela ressort du décompte inclus dans la décision du 19 septembre 2024.</w:t>
      </w:r>
    </w:p>
    <w:p>
      <w:r>
        <w:t>- 5 -</w:t>
      </w:r>
    </w:p>
    <w:p>
      <w:r>
        <w:rPr>
          <w:b/>
        </w:rPr>
        <w:t>E. 2</w:t>
      </w:r>
    </w:p>
    <w:p>
      <w:r>
        <w:t>Le litige porte sur la question de savoir si c’est à juste titre que l’Office AI a prononcé la suppression, puis la restitution de la rente pour enfant en faveur de C.________ pour la période du 1er août au 30 septembre 2024.</w:t>
      </w:r>
    </w:p>
    <w:p>
      <w:r>
        <w:rPr>
          <w:b/>
        </w:rPr>
        <w:t>E. 3</w:t>
      </w:r>
    </w:p>
    <w:p>
      <w:r>
        <w:t>a) D’après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Selon l’art. 25 LAVS (loi fédérale du 20 décembre 1946 sur l’assurance-vieillesse et survivants ; RS 831.10), les enfants dont le père ou la mère est décédé ont droit à une rente d’orphelin. En cas de décès des deux parents, ils ont droit à deux rentes d’orphelin (al. 1).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Aux termes de l’art. 49bis RAVS (règlement du 31 octobre 1947 sur l’assurance-vieillesse et survivants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w:t>
      </w:r>
    </w:p>
    <w:p>
      <w:r>
        <w:t>- 6 - d’occupation telles que les semestres de motivation et les préapprentissages, les séjours au pair et les séjours linguistiques, pour autant qu’ils comprennent une partie de cours (al. 2). D’après l’art. 49ter RAVS, la formation se termine avec un diplôme de fin d’étude ou un diplôme professionnel (al. 1). La formation est également considérée comme terminée lorsqu’elle est abandonnée ou interrompue ou lorsque le droit à une rente d’invalidité prend naissance (al. 2). b) Le chiffre 3118 DR, qui se rapporte aux rentes pour enfants de l’AVS et de l’AI, est libellé en ces termes :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Le chiffre 3119 DR prévoit ce qui suit :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C’est le lieu de rappeler que les directives administratives de l'OFAS ne créent pas de nouvelles règles de droit mais sont destinées à assurer l'application uniforme des prescriptions légales, en visant à unifier,</w:t>
      </w:r>
    </w:p>
    <w:p>
      <w:r>
        <w:t>- 7 -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 ATF 145 V 84 consid. 6.1.1 et les références ; ATF 142 V 442 consid. 5.2). c) aa) Aux termes de l’art. 25 al. 1, première phrase, LPGA, les prestations indûment touchées doivent être restituées. La restitution ne peut être exigée lorsque l’intéressé était de bonne foi et qu’elle le mettrait dans une situation difficile. Les prestations allouées sur la base d’une décision formellement passée en force et sur laquelle une autorité judiciaire ne s’est pas prononcée sous l’angle matériel ne peuvent être restituées que lorsque les conditions d’une reconsidération (art. 53 al. 2 LPGA) ou d’une révision procédurale (art. 53 al. 1 LPGA) sont remplies (ATF 142 V 259 consid. 3.2). D’après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w:t>
      </w:r>
    </w:p>
    <w:p>
      <w:r>
        <w:t>- 8 - bb) D’après l’art. 17 al. 1 LAI, la rente d’invalidité est, d’office ou sur demande, révisée pour l’avenir, à savoir augmentée, réduite ou supprimée, lorsque le taux d’invalidité de l’assuré : subit une modification d’au moins 5 points de pourcentage (let. a), ou, atteint 100 % (let. b). Selon l’art. 17 al. 2 LPGA, de même, toute prestation durable accordée en vertu d’une décision entrée en force est, d’office ou sur demande, augmentée ou réduite en conséquence, ou encore supprimée si les circonstances dont dépendait son octroi changent notablement. L’art. 88bis RAI (règlement du 17 janvier 1961 sur l’assurance- invalidité ; RS 831.201) prévoit que la diminution ou la suppression de la rente, de l’allocation pour impotent ou de la contribution d’assistance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Pour l’application de l’art. 17 al. 2 LPGA, ce qui est déterminant, ce n’est pas le caractère périodique de la prestation d’assurance, mais son caractère durable. Ainsi par exemple, les indemnités journalières de l’assurance-accidents ont un caractère temporaire et leur adaptation n’est pas soumise aux conditions de la révision au sens de l’art. 17 al. 2 LPGA ; cette adaptation peut être rétroactive (cf. à cet égard Margit Moser-Szeless in : Anne-Sylvie Dupont/Margit Moser-Szeless [édit.], Loi sur la partie générale des assurances sociales, Commentaire romand, Bâle 2018, n° 39 ad art. 17). Dans l’ATF 133 V 57, consid. 6.8, le Tribunal fédéral a laissée ouverte la question de savoir si des prestations durables au sens de l’art. 17 al. 2 LPGA ne peuvent être adaptées qu’avec effet pour l’avenir, bien</w:t>
      </w:r>
    </w:p>
    <w:p>
      <w:r>
        <w:t>- 9 - que le libellé de la disposition ne le mentionne pas explicitement, contrairement aux rentes d’invalidité. Une partie de la doctrine considère que tel est le cas (cf. auteurs cités dans l’ATF précité), notamment du fait qu’un effet rétroactif devrait être expressément prévu par la loi ou son ordonnance d’exécution (comme c’est par exemple le cas à l’art. 88bis al. 2 let. b RAI ; cf. Margit Moser-Szeless, in : op. cit., n° 44 ad art. 17 LPGA). cc) Au regard de l'art. 25 LPGA et de la jurisprudence y relative, la procédure de restitution des prestations implique trois étapes en principe distinctes : une première étape sur le caractère indu des prestations, par exemple sur le point de savoir si les conditions d'une reconsidération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(notamment du RAI) et, le cas échéant, une troisième étape sur la remise de l'obligation de restituer au sens de l'art. 25 al. 1, deuxième phrase, LPGA (cf. art. 3 et 4 OPGA ; TF 9C_294/2023 du 20 décembre 2023 consid. 4.3 ; TF 9C_86/2014 du 5 juin 2014 consid. 3.2 et la référence ; TF 9C_678/2011 du 4 janvier 2012 consid. 5.2 et la référence). d) D’après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w:t>
      </w:r>
    </w:p>
    <w:p>
      <w:r>
        <w:t>- 10 -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Un grief tiré de la violation du droit d’être entendu doit être examiné en priorité, s’agissant d’une règle primordiale de procédure dont la violation entraîne en principe l’annulation de la décision attaquée indépendamment des chances de succès du recours sur le fond (ATF 143 IV 380 consid. 1.4.1).</w:t>
      </w:r>
    </w:p>
    <w:p>
      <w:r>
        <w:rPr>
          <w:b/>
        </w:rPr>
        <w:t>E. 4</w:t>
      </w:r>
    </w:p>
    <w:p>
      <w:r>
        <w:t>a) En l’occurrence, dans la décision attaquée, l’OAI a considéré que la rente pour enfant en faveur de la recourante pour les mois d’août et septembre 2024 était indue et que les prestations devaient être restituées dès le 1er août 2024, soit avec effet rétroactif, sans indiquer les motifs sur lesquels elle se fondait à cet égard. Elle n’a en particulier pas examiné si les conditions d’une révision procédurale, d’une reconsidération ou d’une révision au sens de l’art. 17 LPGA étaient remplies. Or, il s’agit là d’un point important de toute décision de restitution, comme cela découle de la jurisprudence du Tribunal fédéral</w:t>
      </w:r>
    </w:p>
    <w:p>
      <w:r>
        <w:t>- 11 - rappelée ci-dessus. Cela étant, la question de savoir s’il s’agit d’un vice grave qui pourrait être réparé devant la Cour de céans peut demeurer indécise dès lors que la décision attaquée doit quoi qu’il en soit être annulée pour les raisons suivantes. b) En effet, l’OAI a retenu que la recourante n’avait pas le droit à une rente pour enfant durant les mois d’août et septembre 2024, au motif qu’elle n’avait effectué « que les cours à l’école professionnelle, ce qui n’attei[gnait] largement pas les 20 heures requis par semaine ». Or, aucun élément du dossier ne vient étayer cette affirmation. Ni l’OAI, ni la CCVD n’ont demandé à la recourante de produire un horaire des cours qu’elle a suivis durant cette période ou tout autre document permettant d’établir, au degré de la vraisemblance prépondérante, si le nombre d’heures de cours par semaine au sein de l’école professionnelle [...] atteignait ou non les 20 heures prévues au chiffre 3119 DR. Dès lors, sous cet angle, il faut retenir que l’instruction est manifestement incomplète, en violation de l’art. 43 LPGA. Vu ce qui précède, la décision attaquée doit être annulée et le dossier renvoyé à l’OAI, auquel il appartient au premier chef d’instruire, pour qu’il complète l’instruction afin d’établir le nombre d’heures de cours suivis par l’assurée durant la période précitée et se prononce, le cas échéant, sur les autres conditions du droit à la rente pour enfant. S’il s’avère, à la suite du complément d’instruction, que la recourante n’a pas droit à une rente pour enfant pour les mois litigieux, il incombera alors à l’OAI de se prononcer également sur la restitution des prestations, en particulier d’examiner la question des effets rétroactifs ou non de la correction à opérer en raison du caractère indu des prestations.</w:t>
      </w:r>
    </w:p>
    <w:p>
      <w:r>
        <w:rPr>
          <w:b/>
        </w:rPr>
        <w:t>E. 5</w:t>
      </w:r>
    </w:p>
    <w:p>
      <w:r>
        <w:t>a) Dès lors, le recours est admis, la décision attaquée annulée et la cause renvoyée à l’autorité intimée pour complément d’instruction au sens des considérants puis nouvelle décision.</w:t>
      </w:r>
    </w:p>
    <w:p>
      <w:r>
        <w:t>- 12 - b)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juge unique p r o n o n c e : I. Le recours est admis. II. La décision rendue le 19 septembre 2024 par l’Office de l’assurance-invalidité pour le canton de Vaud est annulée, la cause lui étant renvoyée pour complément d’instruction au sens des considérants puis nouvelle décision. III. Les frais judiciaires, arrêtés à 600 fr. (six cents francs), sont mis à la charge de l’Office de l’assurance-invalidité pour le canton de Vaud. IV. Il n’est pas alloué de dépens. La juge unique : La greffière :</w:t>
      </w:r>
    </w:p>
    <w:p>
      <w:r>
        <w:t>- 13 - Du L'arrêt qui précède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