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ZD24.045904 vom 11. Juli 2025</w:t>
      </w:r>
    </w:p>
    <w:p>
      <w:r>
        <w:t>VD Tribunal cantonal, 2025-07-11, FR</w:t>
      </w:r>
    </w:p>
    <w:p>
      <w:r>
        <w:rPr>
          <w:b/>
        </w:rPr>
        <w:t xml:space="preserve">Quelle: </w:t>
      </w:r>
      <w:r>
        <w:t>https://mcp.opencaselaw.ch/entscheid/vd_gerichte_ZD24.045904</w:t>
      </w:r>
    </w:p>
    <w:p>
      <w:r>
        <w:t>FR: VD_GERICHTE ZD24.045904 du 11 juillet 2025</w:t>
      </w:r>
    </w:p>
    <w:p>
      <w:r>
        <w:t>IT: VD_GERICHTE ZD24.045904 del 11 luglio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t>- 13 -</w:t>
      </w:r>
    </w:p>
    <w:p>
      <w:r>
        <w:rPr>
          <w:b/>
        </w:rPr>
        <w:t>E. 5</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6</w:t>
      </w:r>
    </w:p>
    <w:p>
      <w:r>
        <w:t>a) Pour fixer le degré d’invalidité, l’administration – en cas de recours, le juge – se fonde sur des documents médicaux, ainsi que, le cas échéant, des documents émanant d’autres spécialistes pour prendre</w:t>
      </w:r>
    </w:p>
    <w:p>
      <w:r>
        <w:t>- 14 -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w:t>
      </w:r>
    </w:p>
    <w:p>
      <w:r>
        <w:t>- 15 - administrative (ATF 144 V 210 consid. 4.3.1 ; TF 8C_105/2022 du 12 juillet 2022 consid. 4.1). d)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9C_253/2024 du 17 octobre 2024 consid. 3.3).</w:t>
      </w:r>
    </w:p>
    <w:p>
      <w:r>
        <w:rPr>
          <w:b/>
        </w:rPr>
        <w:t>E. 7</w:t>
      </w:r>
    </w:p>
    <w:p>
      <w:r>
        <w:t>a) En l’espèce, l’OAI est entré en matière sur la nouvelle demande déposée en mai 2023 par la recourante, estimant qu’il était vraisemblable que son état de santé se soit aggravé. En conséquence, il lui appartenait d’instruire d’office le cas. Dans son acte de recours, la recourante conteste la capacité de travail retenue dans la décision litigieuse et se prévaut d’une instruction insuffisante de son état de santé. Pour soutenir son propos, elle a produit plusieurs rapports médicaux visant à démontrer l’existence de diverses atteintes à la santé ayant un impact sur sa capacité de travail et, qui n’ont, selon elle, pas été prises en considération par l’intimé. b) Les rapports médicaux postérieurs à la décision attaquée sont recevables, car ils concernent tous l’état de santé de la recourante qui prévalait déjà avant que celle-ci ne soit rendue, ce qu’admet d’ailleurs implicitement le SMR dans ses avis médicaux produits en cours de procédure. c) Tant les rapports médicaux établis avant le prononcé de la décision que ceux rédigés postérieurement font état de plusieurs nouvelles atteintes que l’intimé n’a pas investiguées. Pour commencer, il ressort des rapports radiologiques des 24 juin et 18 juillet 2024 et du rapport du 24 septembre 2024 de la Dre K.________, que la recourante souffre de différentes fractures et</w:t>
      </w:r>
    </w:p>
    <w:p>
      <w:r>
        <w:t>- 16 - présente une ostéoporose fracturaire avec un haut risque de fractures à</w:t>
      </w:r>
    </w:p>
    <w:p>
      <w:r>
        <w:rPr>
          <w:b/>
        </w:rPr>
        <w:t>E. 10</w:t>
      </w:r>
    </w:p>
    <w:p>
      <w:r>
        <w:t>ans, soit une nouvelle atteinte à la santé en sus de celles à l’épaule gauche et au genou droit. Ces rapports se réfèrent tous à des examens et des consultations antérieurs à la décision du 11 septembre 2024, qui ont tous été signalés par la recourante dans un échange de courriels avec l’intimé des 19 et 20 août 2024. Il ressort du dossier que l’intimé a exclu une incapacité durable induite par ces atteintes sur la base d’un avis extrêmement sommaire du SMR du 10 septembre 2024, sans plus amples mesures d’instruction. Ensuite, il ressort des rapports produits dans le cadre de la présente procédure que la recourante souffre de fortes gonalgies nécessitant une prise en charge antalgique (cf. rapport du 17 février 2025 du Dr Y.________) pour lesquelles le diagnostic d’algoneurodystrophie est évoqué par plusieurs médecins (cf. rapport du 4 février 2025 du Dr T.________ et rapport du 12 février 2025 du Dr M.________) et de lombalgies liées aux fractures vertébrales pour lesquelles le diagnostic d’ostéoporose fracturaire a été confirmé (cf. rapport du 24 septembre 2024 de la Dre K.________). En outre, des répercussions psychiques des atteintes physiques sont évoquées (cf. rapport du</w:t>
      </w:r>
    </w:p>
    <w:p>
      <w:r>
        <w:rPr>
          <w:b/>
        </w:rPr>
        <w:t>E. 11</w:t>
      </w:r>
    </w:p>
    <w:p>
      <w:r>
        <w:t>février 2025 de MmeA.________). Or ces éléments n’ont pas non plus été instruits par l’intimé. Dans son avis du 25 mars 2025, auquel se réfère l’OAI dans sa duplique, le SMR relève que l’accumulation des atteintes peut avoir une influence sur la capacité de travail de la recourante et a préconisé la reprise de l’instruction. On ne peut que le suivre. En conséquence, il convient de renvoyer la cause à l’autorité intimée, dès lors que c’est à elle qu’il incombe en premier lieu d’instruire, conformément au principe inquisitoire qui régit la procédure dans le domaine des assurances sociales (art. 43 al. 1 LPGA). Il incombera ainsi à l’intimé de compléter le dossier, en requérant des rapports médicaux auprès des médecins récemment consultés et, cas échéant, de mettre en œuvre une expertise médicale neutre, au besoin pluridisciplinaire. Cela</w:t>
      </w:r>
    </w:p>
    <w:p>
      <w:r>
        <w:t>- 17 - fait, il incombera à celui-ci de rendre une nouvelle décision statuant sur les prétentions de l’intéressée. 8. a) La recourante se plaint également des revenus avec et sans invalidité retenus par l’OAI pour calculer son préjudice économique. Compte tenu de ce qui précède, il apparaît prématuré d’examiner la fixation de son revenu avec invalidité, puisque celui-ci dépendra des atteintes à la santé, des limitations fonctionnelles et du niveau de compétence dans une activité adaptée finalement retenus. En revanche, les critiques concernant le revenu sans invalidité peuvent déjà être traitées par économie de procédure.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102 consid. 5.3 ; 134 V 322 consid. 4.1). On se fondera, sur ce point, sur les renseignements communiqués par l’employeur ou, à défaut, sur l’évolution des salaires nominaux (par ex. : TF 9C_192/2014 du 23 septembre 2014 consid. 4.2). c) En l’occurrence, le dernier emploi de la recourante avant ses atteintes à la santé était responsable du groupe vente des produits non food auprès de W.________. Il ressort du questionnaire pour l’employeur rempli le 18 août 2015 que le salaire annuel de la recourante s’élevait alors à 83'200 francs. Dans son premier projet de décision du 21 novembre 2019 concernant la première demande de la recourante, l’intimé a tenu compte de ce montant indexé à 2016. En revanche, dans son projet du 15 juin 2022 confirmé par décision du 14 novembre 2022, concernant toujours la première demande, ainsi que dans la décision attaquée portant sur la deuxième demande, l’intimé s’est fondé sur un extrait de compte individuel de la recourante du 14 août 2015 sur lequel ne figure pas l’année 2015 et a fait une moyenne des salaires annuels perçus de 2010 à 2014, sans préciser pourquoi il ne se référait plus au salaire de 83’200 francs. La seule pièce au dossier qui mentionne ce</w:t>
      </w:r>
    </w:p>
    <w:p>
      <w:r>
        <w:t>- 18 - changement est une note interne du 29 janvier 2021, dans laquelle l’intimé a simplement indiqué que le calcul du revenu sans atteinte à la santé était erroné, sans toutefois en exposer les motifs. Dans la présente procédure, l’intimé n’a pas non plus expliqué pourquoi la prise en compte du dernier salaire de la recourante serait incorrecte, indiquant uniquement que le montant retenu était le même que dans la décision du</w:t>
      </w:r>
    </w:p>
    <w:p>
      <w:r>
        <w:rPr>
          <w:b/>
        </w:rPr>
        <w:t>E. 14</w:t>
      </w:r>
    </w:p>
    <w:p>
      <w:r>
        <w:t>novembre 2022 entrée en force. La Cour de céans n’étant pas liée par le contenu de cette décision qui ne lui a pas été soumise et qui ne déploie des effets qu’en lien avec la première demande de l’assurée, cet argument n’est pas pertinent. Il convient donc de constater que le salaire réalisé avant l’atteinte à la santé de la recourante en 2015 s’élevait à 83'200 francs. Il incombera donc à l’OAI de calculer le préjudice économique de l’intéressée sur cette base, en l’indexant. 9. a) En conclusion, le recours doit être admis et la décision attaquée annulée, la cause étant renvoyée à l’intimé pour complément d’instruction dans le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le sort du recours.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