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ZD24.045896 vom 26. März 2026</w:t>
      </w:r>
    </w:p>
    <w:p>
      <w:r>
        <w:t>VD Tribunal cantonal, 2026-03-26, FR</w:t>
      </w:r>
    </w:p>
    <w:p>
      <w:r>
        <w:rPr>
          <w:b/>
        </w:rPr>
        <w:t xml:space="preserve">Quelle: </w:t>
      </w:r>
      <w:r>
        <w:t>https://mcp.opencaselaw.ch/entscheid/vd_gerichte_ZD24.045896</w:t>
      </w:r>
    </w:p>
    <w:p>
      <w:r>
        <w:t>FR: VD_GERICHTE ZD24.045896 du 26 mars 2026</w:t>
      </w:r>
    </w:p>
    <w:p>
      <w:r>
        <w:t>IT: VD_GERICHTE ZD24.045896 del 26 marzo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10J010</w:t>
      </w:r>
    </w:p>
    <w:p>
      <w:r>
        <w:t>- 15 -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w:t>
      </w:r>
    </w:p>
    <w:p>
      <w:r>
        <w:rPr>
          <w:b/>
        </w:rPr>
        <w:t>E. 5</w:t>
      </w:r>
    </w:p>
    <w:p>
      <w:r>
        <w:t>a) Lorsque la rente a été refusée parce que le degré d’invalidité était insuffisant, la nouvelle demande ne peut être examinée que si la personne assurée rend plausible que son invalidité s’est modifiée de 10J010</w:t>
      </w:r>
    </w:p>
    <w:p>
      <w:r>
        <w:t>- 16 -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10J010</w:t>
      </w:r>
    </w:p>
    <w:p>
      <w:r>
        <w:t>- 17 -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Les rapports d’examen réalisés par un SMR en vertu de l'art. 49 al. 2 RAI peuvent revêtir la même valeur probante que des expertises, dans la mesure où ils satisfont aux exigences requises par la jurisprudence en matière d’expertise médicale,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10J010</w:t>
      </w:r>
    </w:p>
    <w:p>
      <w:r>
        <w:t>- 18 -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80_565/2008 du 27 janvier 2009 consid. 3.3.2).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a) En l’espèce, par décision du 16 août 2024, l’intimé a nié au recourant le droit à des prestations d’invalidité, considérant qu’il n’y avait pas eu d’aggravation de son état de santé depuis la précédente décision de refus du 15 avril 2020, confirmée par arrêt du 16 mars 2021. Pour parvenir à cette conclusion, il s’est fondé, d’une part sur le rapport d’examen du 15 novembre 2019 du Dr C.________ et sur les avis successifs de ce service à la suite de la nouvelle demande déposée le 6 avril 2022 pour ce qui est de l’aspect somatique, et d’autre part, sur le rapport d’examen du Dr F.________ du 30 mai 2024 s’agissant du volet psychiatrique. 10J010</w:t>
      </w:r>
    </w:p>
    <w:p>
      <w:r>
        <w:t>- 19 - Le recourant, de son côté, soutient que l’intimé n’a pas tenu compte des rapports des Drs G.________ et J.________ qui feraient état d’une aggravation significative de son état de santé sur le plan somatique. Il conteste également le rapport d’examen psychiatrique du 30 mai 2024 établi par le Dr F.________ qui serait contredit par les rapports des Drs B.________ et K.________. Il fait également valoir que les limitations fonctionnelles retenues par le médecin du SMR ne correspondent pas aux résultats du test CIF-APP. b/aa) Sur le plan somatique, le Dr C.________ du SMR avait retenu, dans le cadre de l’instruction de la première demande déposée le 8 janvier 2018 ayant abouti à la décision du 15 avril 2020, confirmée par arrêt du 16 mars 2021 de la Cour des assurances sociales du Tribunal cantonal, que l’assuré souffrait de lombosciatalgies bilatérales dans le cadre de troubles statiques et dégénératifs du rachis avec hernies discales L4-L5 et L5-S1, ainsi que de cervicobrachialgies bilatérales dans le cadre de discrets troubles statiques du rachis et d’obésité. Le premier diagnostic a été jugé incapacitant contrairement au second. L’assuré disposait d’une capacité de travail nulle dans l’activité habituelle d’employé au tri postal et de 70% depuis avril 2017 dans une activité adaptée à ses limitations fonctionnelles, soit une activité permettant de pouvoir alterner les positions assise et debout deux à trois fois par heure, d’éviter le port et le soulèvement réguliers de charges d’un poids excédant 5 kg, ainsi que la position en porte- à-faux statique prolongée du tronc, de même qu’une exposition aux vibrations (cf. rapport d’examen du 15 novembre 2019). bb) A la suite de la nouvelle demande de prestations déposée le 6 avril 2022, dans laquelle était évoqués un diabète de type II, ainsi qu’une hernie discale, l’intimé a sollicité des rapports de médecins qui suivaient l’assuré. Le Dr G.________ a ainsi mentionné que le diabète de type II dont souffrait l’assuré était bien contrôlé et sans incidence sur sa capacité de travail (cf. rapport du 31 mai 2022). 10J010</w:t>
      </w:r>
    </w:p>
    <w:p>
      <w:r>
        <w:t>- 20 - Quant à la problématique dorsale, le SMR a noté, dans un avis du 16 juin 2023, une progession radiologique au vu des compressions radiculaires objectivées par l’IRM réalisée le 20 août 2021, tout en précisant qu’il n’y avait pas de corrélation clinique et que l’assuré ne bénéficiait d’aucune consultation spécialisée. Le SMR est ainsi parvenu à la conclusion que, du point de vue somatique, aucun élément ne parlait en faveur d’une aggravation de l’état de santé du recourant sur le plan rachidien et que les limitations fonctionnelles étaient superposables à celles déjà admises en 2019 (cf. avis du 3 novembre 2023). En outre, la problématique urologique n’avait pas engendré d’incapacité de travail durable, tout comme l’atteinte saccro-coccygienne qui avait eu pour conséquence une incapacité de travail seulement transitoire de trois mois. cc) En l’occurrence, contrairement à ce que soutient le recourant, les rapports des Drs G.________ et J.________, dont le SMR a tenu compte, ne sont pas de nature à remettre en cause l’appréciation de celui- ci sur le plan somatique. Le Dr G.________ a en effet confirmé que l’atteinte (diabète de type II) dont souffrait le recourant n’avait aucune incidence sur sa capacité de travail (cf. rapport du 31 mai 2022). Quant au Dr J.________, médecin-traitant, il a conclu à une capacité de travail nulle en raison de l’atteinte lombaire depuis le 1er mai 2021 (cf. rapports des 1er juin 2022 et</w:t>
      </w:r>
    </w:p>
    <w:p>
      <w:r>
        <w:rPr>
          <w:b/>
        </w:rPr>
        <w:t>E. 10</w:t>
      </w:r>
    </w:p>
    <w:p>
      <w:r>
        <w:t>juillet 2023), mais n’a aucunement motivé son appréciation, ni la date à partir de laquelle il retenait une capacité de travail nulle, dont on ne saisit pas à quoi elle correspond. dd) L’intimé était ainsi légitimé à se fonder sur les conclusions de l’examen rhumatologique du 15 novembre 2019 du Dr C.________ du SMR qui restent valables et de conclure à une capacité de travail de 70% dans une activité adaptée permettant d’alterner les positions – assise et debout – à raison de deux ou trois fois par heure, d’éviter le port ou le soulèvement de charges réguliers de plus de 5 kg ainsi que tout travail en porte-à-faux prolongé du tronc, de même qu’une exposition à des vibrations. 10J010</w:t>
      </w:r>
    </w:p>
    <w:p>
      <w:r>
        <w:t>- 21 - c/aa) Sur le plan psychiatrique, l’intimé s’était fondé, pour rendre sa décision du 15 avril 2020, sur le rapport du 8 octobre 2018 du Centre BB.________, dans lequel était retenu un épisode dépressif moyen avec syndrome somatique (F32.11) depuis janvier 2018 au moins. Malgré une thymie abaissée, une anhédonie, une fatigabilité augmentée, une augmentation de l’appétit, de légers troubles de la mémoire et de la concentration, une dévalorisation et du pessissisme face à l’avenir, ainsi que de la nervosité, la capacité de travail de l’assuré était entière sans limitation dans le registre psychiatrique, étant précisé que celui-ci prenait alors un traitement antidépresseur, soit du Saroten 50 mg deux fois par jour. bb) Dans le cadre de la seconde demande de prestations déposée le 6 avril 2022, en raison d’une « fragilité psychologique depuis 2020 », l’intimé s’est fondé sur le rapport d’examen psychiatrique du 30 mai 2024 du Dr F.________ du SMR pour considérer que le recourant disposait d’une capacité de travail entière dans toute activité sans limitations. aaa) On observera, tout d’abord, que le rapport en question se fonde sur l’ensemble des pièces figurant au dossier, qu’il dresse une anamnèse complète, qu’il précise le contexte psychosocial, les antécédents et décrit les plaintes du recourant, ses habitudes ainsi que sa journée-type. Le rapport repose en outre sur les constatations cliniques effectuées par le Dr F.________ et présente des conclusions motivées et convaincantes. D’un point de vue formel, ce rapport remplit donc l’ensemble des exigences jurisprudentielles pour se voir accorder une pleine valeur probante. On rappellera, par ailleurs, qu’il n’existe pas de droit formel à une expertise menée par un médecin externe à l’assurance, l’OAI restant libre de décider les mesures d’instruction qu’il entend mettre en œuvre, notamment de solliciter le SMR pour un examen médical (cf. consid. 5c supra). bbb) Dans son rapport d’examen du 30 mai 2024, le Dr F.________ a retenu les diagnostics non incapacitants d’épisode dépressif moyen, sans syndrome somatique (F32.10), d’anxiété généralisée (F41.1) 10J010</w:t>
      </w:r>
    </w:p>
    <w:p>
      <w:r>
        <w:t>- 22 - et de troubles mentaux et troubles du comportement liés à l’utilisation de tabac, syndrome de dépendance, actuellement abstinent (F17.20). Pour ce qui est du premier diagnostic posé, le médecin précité, après avoir apprécié la situation du recourant en retraçant l’évolution de son état de santé psychique (cf. pp. 720 à 722 du rapport d’examen), a expliqué que ce diagnostic était resté inchangé depuis le suivi par le Centre BB.________ en janvier 2018, excepté durant l’hospitalisation du recourant pendant une dizaine de jours fin janvier 2021, à la suite d’une tentative de suicide, où le diagnostic d’épisode dépressif sévère avait été momentanément retenu. Le Dr F.________ a en particulier constaté que si, à l’anamnèse, l’assuré décrivait une fatigue et une tristesse permanentes, ainsi qu’un manque de motivation pour réaliser ses activités, de même qu’une absence de plaisir, l’analyse de la vie quotidienne ne montrait pas de changement significatif. Par ailleurs, l’examen du jour ne montrait aucun signe de fatigue durant les deux heures d’entretien, ni aucun signe de tristesse avec une mimique adaptée au discours et à la situation. Sur le plan thymique, hormis une vision pessimiste de l’avenir sur le plan financier, le médecin du SMR n’a pas constaté de symptôme dépressif. Toutefois, compte tenu des propos tenus à l’anamnèse corroborés par les différents rapports psychiatriques du Centre BB.________, il retenait un trouble dépressif moyen mais sans syndrome somatique du fait que l’assuré ne connaissait pas de perte de poids et que seuls deux symptômes (trouble du sommeil et baisse de la libido) sur quatre étaient présents. Les symptômes de fatigue et de tristesse décrits par l’assuré étaient permanents depuis 2018 sans évolution, sauf une légère amélioration courant 2020 avant la séparation d’avec son épouse. Si l’assuré soutenait que les symptômes étaient plus intenses depuis qu’’il vivait seul, cela n’avait pas eu d’impact sur sa vie quotidienne. Le Dr F.________ a souligné que le diagnostic, qui était resté inchangé depuis 2018, avait été considéré comme non incapacitant lors du premier suivi au Centre BB.________ en 2018, avant d’être considéré comme totalement incapacitant par ce même Centre en 2021. Or l’analyse de la vie quotidienne, qui montrait un assuré qui mobilisait ses ressources sans problème si nécessaire et la capacité à arrêter de fumer par lui-même dix mois plus tôt alors qu’il fumait vingt cigarettes par jour depuis plus de vingt ans apparaissait en contradiction avec un niveau de ressources psychiques 10J010</w:t>
      </w:r>
    </w:p>
    <w:p>
      <w:r>
        <w:t>- 23 - faibles entraînant une incapacité de travail totale. La seule aggravation de l’état de santé psychique du recourant constatée restait temporaire, soit durant son hospitalisation du 22 janvier au 1er février 2021, lors de la laquelle le diagnostic d’épisode dépressif sévère avait été posé. Cette hospitalisation était intervenue dans un contexte de séparation conflictuelle et il était difficile d’objectiver les intentions du recourant (idées suicidaires ou acte plus à visée de chantage). Un traitement antidépresseur lui a été prescrit (Brintellix 10 mg), traitement qu’il continuait à prendre au jour de l’examen par le Dr F.________ avec une longue interruption entre octobre 2022 et octobre 2023, sans que le recourant ne puisse expliquer le motif pour lequel il avait cessé le traitement puis l’avait repris après une année. Le Dr F.________ a également retenu le diagnostic d’anxiété généralisée en raison d’une labilité émotionnelle et de tensions motrices avec signes neurovégétatifs (transpiration, palpitations, précordialgies et sensation parfois de mort imminente), toutefois non décélées à l’examen, voire de crises d’angoisse aiguës d’une durée de moins d’une heure. La fréquence de ces crises variait d’un jour à l’autre mais leur caractère épisodique et l’absence de retentissement sur l’autonomie dans la vie quotidienne rendait non incapacitant le diagnostic posé. Quant au diagnostic de troubles mentaux et troubles du comportement liés à l’utilisation de tabac, syndrome de dépendance, actuellement abstinent (F17.20), celui-ci était également non incapacitant compte tenu de l’absence de retentissement sur la vie quotidienne, malgré certains épisodes de « craving » que l’assuré gérait avec des patchs. Après avoir posé des diagnostics motivés, le Dr F.________ s’est penché sur les indicateurs pertinents en matière de troubles psychiques. Concernant les ressources disponibles ou mobilisables de l’assuré, les éléments recueillis dans le contexte psychosocial et la vie quotidienne permettaient de constater que celles-ci étaient globalement conservées. En effet, en ce qui concernait le réseau social, celui-ci avait toujours été restreint au réseau familial et n’avait pas changé au fil du temps, excepté lors du décès du frère de l’assuré fin 2022. Ce dernier connaissait des relations sociales irrégulières depuis toujours, se limitant, depuis le déménagment, à de vagues relations de voisinage. En revanche, 10J010</w:t>
      </w:r>
    </w:p>
    <w:p>
      <w:r>
        <w:t>- 24 - il maintenait des contacts réguliers avec sa famille en Suisse ou au X***. Il voyait sa sœur et son beau-frère environ une fois par mois et avait pu voir son fils aîné, désormais majeur, à quelques reprises. S’agissant des activités de loisirs, celles-ci étaient très réduites et se limitaient à regarder la télévision et à quelques promenades de courte durée à cause des douleurs, deux à trois fois par semaine, étant précisé qu’auparavant, l’assuré mettait son énergie à s’occuper de ses enfants. Pour ce qui était des tâches ménagères, l’assuré était autonome. Quant aux commissions, il bénéficiait de l’aide de son beau-frère, qui disposait d’une voiture, une fois par mois. Au niveau de la cohérence, le Dr F.________ a constaté de fréquentes divergences entre les symptômes décrits, le comportement et les activités quotidiennes. L’assuré ne décrivait spontanément que des épisodes anxieux et, à l’anamnèse orientée, une fatigue et une tristesse permanentes, ainsi qu’un manque d’envie pour les activités. Néanmoins, l’analyse montrait un assuré qui restait autonome pour les activités instrumentaires de la vie quotidienne, même s’il les effectuait de manière fractionnée. La douleur permanente décrite par l’assuré ne se retrouvait pas lors de l’examen où celui-ci avait pu rester assis pendant deux heures avec une seule attitude antalgique alors qu’il disait ne pas pouvoir rester dans la même position plus d’une quinzaine de minutes chez lui. Par ailleurs, l’assuré soutenait qu’il ne dormait pas plus de quatre à cinq heures par nuit alors qu’à l’examen, il n’avait manifesté aucun signe de fatigue. Pour le reste, le médecin du SMR a constaté une cohérence entre les symptômes objectivés à l’examen et l’analyse des activités quotidiennes et du comportement. cc) Le Dr F.________ a également expliqué, de manière convaincante, les raisons pour lesquelles il s’écartait des avis succincts et peu motivés des psychiatres traitants, les Drs K.________ et B.________, dont les rapports ne permettent, en l’occurrence, pas de remettre en cause son appréciation. En effet, s’agissant du diagnostic de trouble dépressif récurrent, posé par ceux-ci, le Dr F.________ a exposé qu’un tel diagnostic ne pouvait être retenu du fait que, selon l’anamnèse, il n’y avait pas de période de rémission entre différents épisodes, alors que l’assuré était 10J010</w:t>
      </w:r>
    </w:p>
    <w:p>
      <w:r>
        <w:t>- 25 - régulièrement suivi tous les mois, hormis durant le changement entre R*** et Y***. L’assuré avait été vu en consultation trois ou quatre fois après une période de chômage en 2010 ou 2011, sans qu’il ne soit objectivé d’épisode dépressif. Il décrivait une humeur plus ou moins triste depuis 2018. Ainsi, en l’absence d’antécédent dépressif objectivé avant la prise en charge de 2018 et le fait qu’il n’y ait pas eu de rémission depuis amenait le Dr F.________ à rejeter le diagnostic de touble dépressif récurrent. On observera à cet égard qu’amenée à préciser le diagnostic de trouble dépressif récurrent, la Dre B.________ s’est limitée à répondre à l’OAI que les épisodes dépressifs avaient eu lieu en 2019, 2021 et 2022, sans détailler et motiver son assertion (cf. rapport du 28 août 2023). Concernant la capacité de travail – considérée comme nulle – retenue par les psychiatres traitants, le Dr F.________ a en particulier souligné qu’une telle appréciation entrait en contradiction avec le fait que le diagnostic dépressif était resté inchangé depuis 2018, excepté durant la courte période d’hospitalisation fin janvier 2021, et qu’à l’analyse de la vie quotidienne de l’assuré, l’on constatait que celui-ci disposait de ressources et était autonome dans l’accomplissement des tâches instrumentales. Par ailleurs, le Dr K.________ a considéré que la capacité de travail du recourant était nulle depuis novembre 2021, date correspondant au début de son suivi, mais n’a aucunement motivé son appréciation. La Dre B.________ n’a pas non plus apporté de précision à ce sujet. En définitive, il apparaît que les psychiatres traitants ont procédé à une lecture différente d’un même état de fait, laquelle ne convainc pas et ne permet pas de retenir une aggravation significative de l’état de santé psychique du recourant depuis la décision du 15 avril 2020. dd) Quant à la critique en lien avec les résultats du test CIF-APP, qui démontreraient d’importantes limitations, elle n’est pas fondée et doit être écartée. En effet, le Dr F.________ s’est penché de manière détaillée sur les résultats du test en question. Il a en particulier constaté que l’assuré n’avait pas de problèmes pour s’adapter aux règles et routines, comme cela avait été le cas lors des périodes d’activités ou de mesures de réinsertion liées au chômage. Celui-ci effectuait les tâches au fur et à mesure de ses 10J010</w:t>
      </w:r>
    </w:p>
    <w:p>
      <w:r>
        <w:t>- 26 - besoins sans nécessairement les planifier mais montrait de bonnes capacités à les structurer si besoin. L’assuré se montrait flexible et adaptable, sans difficulté à mettre en pratique des connaissances professionnelles lorsqu’il travaillait. Il ne rencontrait pas de difficultés de jugement ou à s’affirmer. Aucune limitation dans la capacité de contact et de conversation avec des tiers n’était constatée, dans la mesure où l’assuré n’avait jamais cherché à développer des relations sociales en dehors des relations familiales et dans le cadre du travail. Il en allait de même de la capacité d’avoir des relations privilégiées à deux et à prendre soin de soi. L’assuré présentait une hygiène correcte et avait la capacité à utiliser les transports publics et à se déplacer en N*** si nécessaire. Le Dr F.________ a ainsi noté que l’assuré ne présentait pas de limitations fonctionnelles hormis dans trois secteurs sur les treize évalués. En particulier, la capacité d’intégration dans un groupe s’était, aux dires de l’assuré, fortement dégradée depuis 2018, en lien avec la sensation d’être observé et jugé. Or cela ne correspondait pas avec l’envie de l’assuré d’intégrer un atelier de cuisine qui se faisait en groupe mais que celui-ci estimait irréalisable pour des raisons financières. L’assuré décrivait également une capacité d’endurance et de résistance limitée de manière significative mais essentiellement pour des raisons algiques, de fatigue et par manque de motivation. Celui-ci ne cherchait en outre pas à faire des activités, d’où une limitation significativement prononcée (3 sur 4) en lien avec les activités spontanées et une proactivité. Le médecin du SMR a ainsi conclu que même en retenant les propos manquant parfois de cohérence de l’assuré, seules trois limitations significativement prononcées ressortaient du test, aboutissant à un score total de 9/52. ee) En définitive, aucun élément objectif, qui serait de nature à faire douter de la fiabilité et de la pertinence de l’appréciation de l’examen psychiatrique du Dr F.________ du SMR, n’a été amené. Cette appréciation peut donc être confirmée. d) Il s’ensuit que l’intimé pouvait valablement se fonder sur le rapport d’examen du 15 novembre 2019 du Dr C.________ sur le plan rhumatologique, d’une part, et sur celui du 30 mai 2024 du Dr F.________ 10J010</w:t>
      </w:r>
    </w:p>
    <w:p>
      <w:r>
        <w:t>- 27 - dans le registre psychiatrique, d’autre part, et considérer qu’il n’y avait pas d’aggravation significative de l’état de santé du recourant par rapport à la situation qui prévalait lors de la décision du 15 avril 2020 confirmée par arrêt du 16 mars 2021. Ainsi, compte tenu d’une capacité de travail de 70% dans une activité adaptée sur le plan somatique, étant précisé que la capacité de travail était de 100% dans toute activité sur le plan psychiatrique, c’est à juste titre que l’intimé a nié au recourant le droit à une rente, compte tenu d’un degré d’invalidité inférieur à 40%. 8. Les éléments au dossier permettent à la Cour de céans de statuer en toute connaissance de cause. Dès lors, il n’y a pas lieu de donner suite à la conclusion du recourant tendant à la mise en œuvre d’une expertise indépendante (cf. acte de recours, conclusion VI). En effet, une telle mesure ne serait pas de nature à modifier les considérations qui précèdent, les faits pertinents ayant pu être constatés à satisfaction de droit (appréciation anticipée des preuves [ATF 145 I 167 consid. 4.1 ; 144 II 427 consid. 3.1.3 ; 140 I 285 consid. 6.3.1]). 9. 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Toutefois, dans la mesure où celui-ci est au bénéfice de l’assistance judiciaire, ces frais seront provisoirement assumés par l’Etat (art. 122 al. 1 let. b CPC [code fédéral de procédure civile du 19 décembre 2008 ; RS 272], applicable par renvoi de l’art. 18 al. 5 LPA-VD). c) Il n’y a pas lieu d’allouer de dépens au recourant, qui n’obtient pas gain de cause (art. 61 let. g LPGA). 10J010</w:t>
      </w:r>
    </w:p>
    <w:p>
      <w:r>
        <w:t>- 28 - d) Me Duc a été désigné en qualité d’avocat d’office du recourant à compter du 16 septembre 2024 et peut ainsi prétendre à une équitable indemnité pour son mandat d’office (art. 118 al. 1 let. c CPC, applicable par renvoi de l'art. 18 al. 5 LPA-VD. Après examen de la liste des opérations datée du 17 février 2026, faisant état de 15 heures et 15 minutes consacrées à la présente procédure, lesquelles paraissaient justifiées, compte tenu de l’importance et de la complexité du litige, il convient d’arrêter l’indemnité à 2'979 fr. 90, ([15h15 × 180 fr.] + [11 fr. 60 ; débours] + [8.1 % ; TVA]), débours et TVA compris (art. 2, 3 al. 1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