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ZD24.044706 vom 28. Januar 2026</w:t>
      </w:r>
    </w:p>
    <w:p>
      <w:r>
        <w:t>VD Tribunal cantonal, 2026-01-28, FR</w:t>
      </w:r>
    </w:p>
    <w:p>
      <w:r>
        <w:rPr>
          <w:b/>
        </w:rPr>
        <w:t xml:space="preserve">Quelle: </w:t>
      </w:r>
      <w:r>
        <w:t>https://mcp.opencaselaw.ch/entscheid/vd_gerichte_ZD24.044706</w:t>
      </w:r>
    </w:p>
    <w:p>
      <w:r>
        <w:t>FR: VD_GERICHTE ZD24.044706 du 28 janvier 2026</w:t>
      </w:r>
    </w:p>
    <w:p>
      <w:r>
        <w:t>IT: VD_GERICHTE ZD24.044706 del 28 gennaio 2026</w:t>
      </w:r>
    </w:p>
    <w:p>
      <w:pPr>
        <w:pStyle w:val="Heading2"/>
      </w:pPr>
      <w:r>
        <w:t>Erwägungen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10J010</w:t>
      </w:r>
    </w:p>
    <w:p>
      <w:r>
        <w:t>- 11 -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rPr>
          <w:b/>
        </w:rPr>
        <w:t>E. 6</w:t>
      </w:r>
    </w:p>
    <w:p>
      <w:r>
        <w:t>a) En l’espèce, l’intimé est entré en matière sur la nouvelle demande du 27 novembre 2023 après un premier refus de prester prononcé en 2019. Il convient par conséquent d’examiner si, entre la décision de refus de rente du 12 juin 2019 et la décision litigieuse du 9 septembre 2024, l’état de santé de la recourante s’est modifié de façon à influencer son droit à des prestations de l’assurance-invalidité. b) La première demande de prestations de la recourante auprès de l’OAI a été déposée en raison d’une tendinopathie du sus-épineux droit. 10J010</w:t>
      </w:r>
    </w:p>
    <w:p>
      <w:r>
        <w:t>- 12 - Sur le plan médical, la décision de refus de prester rendue à la suite de cette demande était fondée sur l’appréciation du médecin-conseil de l’assureur perte de gain. Celui-ci avait estimé que l’assurée était en mesure de reprendre une activité professionnelle à 100 % dès le 1er octobre 2017, moyennant le respect des limitations fonctionnelles suivantes : pas de port de charge de plus de 5 kg, pas d’abduction de plus de 90° et pas de mouvements répétitifs du membre supérieur droit. c) La seconde demande de prestations a été déposée à la suite d’une chute subie par l’assurée le 26 mai 2023, laquelle a provoqué des douleurs cervicales et dorsales. Les examens auxquels s’est soumise l’assurée ont mis en évidence plusieurs atteintes. Au niveau des cervicales, elle présente des discopathies, modérées en C4-C5 et C5-C6 et sévère en C6-C7, avec une spondylo-uncarthrose bilatérale à prédominance droite en C6-C7 et des remaniements inflammatoires en miroir des corps vertébraux, ainsi qu’une sténose neuro foraminale bilatérale sévère en C6-C7, à prédominance droite (cf. rapport du Dr F.________ du 30 mai 2023 ; rapport du Dr G.________ du 14 juin 2023 ; rapport du Dr J.________ du 22 juin 2023 ; rapport du Dr K.________ du 13 mars 2024). Au niveau des lombaires, l’assurée souffre principalement d’un remaniement dégénératif affectant les articulaires postérieures en L4-L5 et en L5-S1 ainsi que d’une lésion de Romanus séquellaire en L3-L4, associés à une discrète ostéopénie et une minime attitude scoliotique à convexité gauche (cf. rapport du Dr H.________ du 24 novembre 2023 ; rapport du Dr K.________ du 15 mars 2024 ; rapport du Dr M.________ du 16 avril 2024). Il est ainsi constant que depuis la première demande déposée en 2017, la recourante a présenté de nouvelles atteintes, venues s’ajouter à celles dont elle souffrait déjà à l’épaule droite. Reste à déterminer si lesdites atteintes influencent son droit à des prestations de l’assurance- invalidité. 10J010</w:t>
      </w:r>
    </w:p>
    <w:p>
      <w:r>
        <w:t>- 13 - d) Dans sa décision du 9 septembre 2024, l’intimé s’est fondé sur l’appréciation du Dr M.________ pour admettre une entière capacité de travail de la recourante dans une activité adaptée dès le mois d’avril 2024, moyennant le respect des limitations fonctionnelles posées dans le cadre de la première demande de prestations, en lien avec les atteintes à l’épaule droite, auxquelles s’ajoutait celle de « travail non-physiquement lourd ». Il sied en premier lieu de relever que l’appréciation de ce médecin est très succincte et n’est assortie d’aucune explication. Dans ces conditions, on peut d’emblée douter que son évaluation réponde aux exigences de motivation auxquelles la jurisprudence soumet la valeur probante d’un rapport médical (cf. supra consid. 4b). Par ailleurs, les conclusions du Dr M.________ concernant les limitations fonctionnelles de la recourante manquent de clarté. Le terme « non-physiquement lourd » ne permet en effet pas de déterminer quels mouvements sont interdits ou doivent être limités en raison des nouvelles atteintes subies, ni quelles charges peuvent encore être portées, pas plus que la fréquence ou l’intensité auxquelles certains gestes demeurent autorisés. De tels renseignements sont pourtant indispensables pour déterminer la capacité résiduelle de travail de la recourante. En ce qui concerne la date à partir de laquelle l’exercice d’une activité adaptée pouvait être exigé, l’intimé a retenu le mois d’avril 2024, alors que le Dr M.________ a expressément indiqué qu’il était dans l’impossibilité de définir à partir de quand une telle reprise était envisageable (cf. rapports du 16 avril 2024). L’intimé n’a pas non plus interpellé son service médical à ce sujet. Or la capacité de travail est une question qui doit être évaluée en premier lieu par un médecin (ATF 140 V 193 consid. 3.2). Partant, en l’absence d’une telle évaluation médicale, l’intimé n’était pas fondé à admettre qu’une activité adaptée était exigible dès le mois d’avril 2024, sans instruire plus avant. 10J010</w:t>
      </w:r>
    </w:p>
    <w:p>
      <w:r>
        <w:t>- 14 - Au vu de ce qui précède, force est d’admettre que l’appréciation du Dr M.________, très succincte, peu claire et insuffisamment motivée, ne pouvait pas fonder la décision de refus de rente de l’intimée. e) A cela s’ajoute que des rapports médicaux établis postérieurement à la décision litigieuse font état de pathologies supplémentaires, en lien avec les douleurs importantes ressenties par la recourante. Dans la mesure où ils ont également trait à la période antérieure à la décision entreprise, il y a lieu d’en tenir compte dans l’appréciation de la capacité de travail de l’intéressée (cf. supra consid. 5). Le Dr BB.________ a diagnostiqué un syndrome douloureux myofacial avec des phénomènes de sensibilisation centrale de la corne dorsale médullaire et une allodynie coccygienne (cf. rapports des 6 mai et 30 septembre 2024). En décembre 2024, le Dr P.________ a lui aussi objectivé d’importantes douleurs avec une hypersensibilité au toucher sur tout le rachis, avec irradiations des douleurs cervicales jusqu’au pharynx, derrière les yeux, à la racine du nez et à la région frontale médiane, les positions assises ou dans le lit augmentant celles-ci. Selon ces deux médecins, une sensibilisation centrale et périphérique à la douleur était probable. En janvier 2025, le Dr BB.________ a encore évoqué la possible présence d’un syndrome de Covid long, avec douleurs musculo- squelettiques persistantes présentes avant la chute du mois de mai 2023. Ces nouveaux éléments doivent être investigués, afin de déterminer si et dans quelle mesure ils impactent la capacité de travail résiduelle de l’intéressée. f) Compte tenu de ce qui précède, il y a lieu de constater que l’instruction du dossier menée par l’OAI est lacunaire, de sorte que cette autorité n’était pas fondée à rendre la décision litigieuse sans autres mesures d’instruction. Il se justifie par conséquent d’annuler la décision entreprise et d’ordonner le renvoi de la cause à l’intimé, dès lors que c’est à lui qu’il incombe en premier lieu d’instruire, conformément au principe 10J010</w:t>
      </w:r>
    </w:p>
    <w:p>
      <w:r>
        <w:t>- 15 - inquisitoire qui régit la procédure dans le domaine des assurances sociales (art. 43 al. 1 LPGA).</w:t>
      </w:r>
    </w:p>
    <w:p>
      <w:r>
        <w:rPr>
          <w:b/>
        </w:rPr>
        <w:t>E. 7</w:t>
      </w:r>
    </w:p>
    <w:p>
      <w:r>
        <w:t>a) En définitive, le recours doit être admis, la décision entreprise annulée et la cause renvoyée à l’intimé pour complément d’instruction et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