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ZD24.044388 vom 21. Oktober 2025</w:t>
      </w:r>
    </w:p>
    <w:p>
      <w:r>
        <w:t>VD Tribunal cantonal, 2025-10-21, FR</w:t>
      </w:r>
    </w:p>
    <w:p>
      <w:r>
        <w:rPr>
          <w:b/>
        </w:rPr>
        <w:t xml:space="preserve">Quelle: </w:t>
      </w:r>
      <w:r>
        <w:t>https://mcp.opencaselaw.ch/entscheid/vd_gerichte_ZD24.044388</w:t>
      </w:r>
    </w:p>
    <w:p>
      <w:r>
        <w:t>FR: VD_GERICHTE ZD24.044388 du 21 octobre 2025</w:t>
      </w:r>
    </w:p>
    <w:p>
      <w:r>
        <w:t>IT: VD_GERICHTE ZD24.044388 del 21 ottobre 2025</w:t>
      </w:r>
    </w:p>
    <w:p>
      <w:pPr>
        <w:pStyle w:val="Heading2"/>
      </w:pPr>
      <w:r>
        <w:t>Erwägungen</w:t>
      </w:r>
    </w:p>
    <w:p>
      <w:r>
        <w:rPr>
          <w:b/>
        </w:rPr>
        <w:t>E. 3</w:t>
      </w:r>
    </w:p>
    <w:p>
      <w:r>
        <w:t>Le recours porte sur le droit de la recourante à des prestations de l’assurance-invalidité à la suite de sa demande du 26 octobre 2021.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degré d’invalidité, il existe principalement trois méthodes – la méthode ordinaire de comparaison des revenus, la</w:t>
      </w:r>
    </w:p>
    <w:p>
      <w:r>
        <w:t>- 15 - méthode spécifique et la méthode mixte – dont l’application dépend du statut du bénéficiaire potentiel de la rente : assuré exerçant une activité lucrative à temps complet, assuré non actif, assuré exerçant une activité lucrative à temps partiel. aa) L’évaluation du taux d’invalidité des assurés exerçant une activité lucrative est régie par l’art. 16 LPGA. À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[règlement du 17 janvier 1961 sur l’assurance-invalidité ; RS 831.201] ; cf. Margit Moser-Szeless/Jenny Castella, in Dupont/Moser- Szeless [édit.], Loi sur la partie générale des assurances sociales, Commentaire romand, 2ème éd., Bâle 2025,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w:t>
      </w:r>
    </w:p>
    <w:p>
      <w:r>
        <w:t>- 16 -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d) Le statut d’un assuré est déterminé en fonction de la situation professionnelle dans laquelle il se trouverait s’il n’était pas atteint dans sa santé. L’assuré est réputé exercer une activité lucrative au sens de l’art. 28a al. 1 LAI dès lors qu’en bonne santé, il travaillerait à un taux de 100 % ou plus. Il est réputé ne pas exercer d’activité lucrative au sens de l’art. 28a al. 2 LAI dès lors qu’en bonne santé, il ne serait pas actif professionnellement. Il est enfin réputé exercer une activité lucrative à temps partiel au sens de l’art. 28a al. 3 LAI dès lors qu’en bonne santé, il occuperait un poste à un taux d’occupation de moins de 100 % (art. 24septies RAI [règlement du 17 janvier 1961 sur l’assurance-invalidité ; RS 831.201]).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w:t>
      </w:r>
    </w:p>
    <w:p>
      <w:r>
        <w:t>- 17 - l’absence d’atteinte à la santé (ATF 144 I 28 consid. 2.3 ; 133 V 504 consid. 3.3 ; 125 V 146 consid. 2c).</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- 18 - raisonnablement en considération (ATF 144 V 427 consid. 3.2 ; 139 V 176 consid. 5.3 et les références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8C_442/2013 du 4 juillet 2014 consid. 2).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w:t>
      </w:r>
    </w:p>
    <w:p>
      <w:r>
        <w:t>- 19 - S’agissant de la prise en compte de l’empêchement dans l’accomplissement des travaux habituels (art. 27 al. 1 RAI) ou les actes ordinaires de la vie (art. 37 RAI)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141 V 642 consid. 4.3.2 ; 133 V 504 consid. 4.2 et les références ; TF 9C_248/2022 du 25 avril 2023 consid 5.3.1).</w:t>
      </w:r>
    </w:p>
    <w:p>
      <w:r>
        <w:rPr>
          <w:b/>
        </w:rPr>
        <w:t>E. 7</w:t>
      </w:r>
    </w:p>
    <w:p>
      <w:r>
        <w:t>a) Il sied en premier lieu d’examiner le statut de personne active à 50% et de ménagère à 50% retenu par l’intimé, contesté par la recourante, laquelle revendique une part active de 80%. b) Il résulte des pièces au dossier qu’après la naissance de son premier enfant en [...], la recourante a débuté son activité d’agente de propreté auprès du K.________ en 2001, au taux de 50%. Elle a continué à travailler pour cet employeur à 50% après la naissance de son second enfant en [...]. Il apparaît ainsi que ce taux partiel lui permettait de concilier vie professionnelle et obligations familiales, ce qu’elle a confirmé à l’enquêteur en charge de l’évaluation économique sur le ménage, en déclarant qu’elle pouvait ainsi consacrer du temps à sa famille et son ménage (cf. rapport d’enquête ménagère du 10 janvier 2024). Dans le cadre de sa première demande de prestations à l’OAI, elle avait du reste indiqué un statut de femme active à 50% et de ménagère à 50% dans le formulaire idoine complété par ses soins le 18 novembre 2013. Dans le formulaire de détermination du statut complété dans le cadre de sa seconde demande de prestations, la recourante a indiqué que, sans atteinte à sa santé, son taux d’activité serait de 80%, par nécessité financière, depuis 2017-2018. Elle a confirmé cette version auprès de l’enquêteur chargé de l’évaluation ménagère réalisée en janvier 2024, déclarant qu’elle avait pour projet d’augmenter son taux d’occupation à 80% lorsque ses enfants seraient devenus indépendants.</w:t>
      </w:r>
    </w:p>
    <w:p>
      <w:r>
        <w:t>- 20 - Les déclarations de la recourante sont plausibles et aucun élément au dossier ne permet de les remettre en cause. Mère de deux jeunes enfants, elle a souhaité consacrer 50% de son temps à sa famille et son ménage. Il peut dès lors être admis qu’en 2017, alors que ses enfants auraient respectivement atteint l’âge de [...] et [...] ans, elle aurait augmenté son taux d’activité à 80% si elle n’en avait pas été empêchée en raison de ses problèmes de santé. En sus de l’indépendance acquise par les enfants de la recourante entre la première et la seconde demande de prestations, la situation financière de sa famille a également évolué. Lorsqu’elle travaillait au taux de 50%, son époux percevait un revenu mensuel brut de 8'500 francs. Ayant lui-même été atteint dans sa santé, ceux-ci ont été réduit à 6'000 fr., perçus de l’assurance-invalidité. Au vu de cette baisse de revenus, avec des enfants certes plus grands mais habitant encore au domicile familial, il apparaît d’autant plus vraisemblable que sans atteinte à sa santé, la recourante aurait effectivement augmenté son taux d’activité. Contrairement à ce qu’a avancé l’intimé, le fait que l’intéressée n’ait pas fait usage de sa capacité de travail résiduelle dans une activité adaptée pour augmenter son taux d’activité à l’issue de l’instruction de sa première demande de prestations n’est pas pertinent pour déterminer son statut dans le cadre de la seconde demande. Il sied en effet de rappeler à cet égard que la détermination du statut ne dépend pas du point de savoir si l’exercice d’une activité lucrative serait raisonnablement exigible de sa part, mais de déterminer si elle exercerait une telle activité et à quel taux, dans des circonstances semblables, sans atteinte à la santé (cf. supra consid. 4.d). Au vu des éléments exposés ci-avant et en l’absence d’indices plaidant en faveur d’un statut de personne active à 50%, on doit dès lors admettre qu’il est établi au degré de la vraisemblance requis que sans atteinte à sa santé, la recourante aurait exercé une activité à 80% lors du</w:t>
      </w:r>
    </w:p>
    <w:p>
      <w:r>
        <w:t>- 21 - dépôt de sa seconde demande de prestations. Il s’ensuit qu’un statut de personne active à 80% et de ménagère à 20% doit être retenu.</w:t>
      </w:r>
    </w:p>
    <w:p>
      <w:r>
        <w:rPr>
          <w:b/>
        </w:rPr>
        <w:t>E. 8</w:t>
      </w:r>
    </w:p>
    <w:p>
      <w:r>
        <w:t>À ce stade, il s’agit de déterminer si, entre la décision de refus de rente du 18 décembre 2014 et la décision litigieuse du 3 septembre 2024, l’état de santé de la recourante s’est modifié de façon à influencer son droit à des prestations de l’assurance-invalidité. a) La décision de refus de rente du 18 décembre 2014 est fondée sur l’avis des médecins-traitants de la recourante, validé par le X.________. Il en résultait que l’intéressée souffrait d’une tendinopathie de la coiffe des rotateurs à l’épaule droite et de cervico-scapulgies. L’activité habituelle de femme de ménage était exigible à 50%, dès le 4 janvier 2013. La capacité de travail dans une activité adaptée était entière dès avril 2013, moyennent le respect des limitations fonctionnelles suivantes : pas d’élévation au-dessus de l’horizontale, pas de port de charges au- dessus de cinq kilogrammes (cf. rapport du X.________ du 20 décembre 2013). b) Dès le mois de mai 2020, la recourante a présenté des lombosciatalgies ayant nécessité un arrêt de travail. L’IRM réalisée en juin 2020 a mis en évidence une hernie discale refoulant la racine L5 droite, une discopathie dégénérative sévère en L4-L5 et une arthrose lombaire modérée à importante en L2-L3, L3-L4 et L5-S1 (cf. IRM du 16 juin 2020 ; cf. également rapports de la Dre A.________ du 21 janvier 2022 et de la Dre N.________ du 6 octobre 2022). Après deux infiltrations réalisées dans le courant de l’été 2020 n’ayant pas eu l’effet escompté sur la symptomatologie douloureuse, la recourante a subi une intervention chirurgicale le 12 avril 2021. L’évolution post-opératoire a été favorable, avec une diminution de l’irradiation des douleurs dans les membres inférieurs et une amélioration notable de la radiculopathie. En revanche, les lombalgies ont persisté (cf. rapports de la Dre P.________ du 15 juillet 2021 et du Dr F.________ du 5 octobre 2021). Un listhésis de grade I de L3 sur L4, visible sur des</w:t>
      </w:r>
    </w:p>
    <w:p>
      <w:r>
        <w:t>- 22 - radiographies du mois de septembre 2021, s’est ajouté aux pathologies existantes (cf. rapport de la Dre P.________ du 21 septembre 2021 et de la Dre A.________ du 21 janvier 2022). Les lombalgies ont persisté, irradiant dans les fesses et derrière les cuisses, associées à des troubles de la sensibilité du pied droit (cf. rapports de la Dre A.________ des 21 janvier et 16 septembre 2022, du Dr F.________ du 22 février 2022, de la Dre P.________ du 3 novembre 2022). Les limitations fonctionnelles retenues par les médecins traitants de la recourante, suivis par le X.________, étaient les suivantes : pas de bras au-dessus de la tête, pas de port de charge au-dessus de cinq kilogrammes, alternance des positions, pas de terrain irrégulier, pas de flexion/rotation du tronc (debout ou couchée), pas de travail accroupi ni à genoux et pas d’échelles ni d’échafaudages (cf. rapport du X.________ du</w:t>
      </w:r>
    </w:p>
    <w:p>
      <w:r>
        <w:rPr>
          <w:b/>
        </w:rPr>
        <w:t>E. 13</w:t>
      </w:r>
    </w:p>
    <w:p>
      <w:r>
        <w:t>a) En définitive, le recours, mal fondé,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recourante, vu l’issue du litige.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