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ZD24.042631 vom 9. Januar 2026</w:t>
      </w:r>
    </w:p>
    <w:p>
      <w:r>
        <w:t>VD Tribunal cantonal, 2026-01-09, FR</w:t>
      </w:r>
    </w:p>
    <w:p>
      <w:r>
        <w:rPr>
          <w:b/>
        </w:rPr>
        <w:t xml:space="preserve">Quelle: </w:t>
      </w:r>
      <w:r>
        <w:t>https://mcp.opencaselaw.ch/entscheid/vd_gerichte_ZD24.042631</w:t>
      </w:r>
    </w:p>
    <w:p>
      <w:r>
        <w:t>FR: VD_GERICHTE ZD24.042631 du 9 janvier 2026</w:t>
      </w:r>
    </w:p>
    <w:p>
      <w:r>
        <w:t>IT: VD_GERICHTE ZD24.042631 del 9 gennaio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10J010</w:t>
      </w:r>
    </w:p>
    <w:p>
      <w:r>
        <w:t>- 18 -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Selon la jurisprudence, un état d'épuisement de type « burnout » ne constitue en principe pas une atteinte à la santé invalidante (TF 9C_298/2020 du 28 septembre 2020 consid. 3.2 ; TF 9C_537/2011 du 28 juin 2012 consid. 3.1, in SVR 2012 IV n° 52 p. 188; TF 8C_302/2011 du 20 septembre 2011 consid. 2.3, in SVR 2012 IV n° 22 p. 95). En effet, selon le Tribunal fédéral, le burnout peut se produire chez des personnes présentant certains traits de personnalité dans des situations de stress psychosocial et est répertorié sous le code de diagnostic CIM-10 Z73.0. Il ne correspond toutefois pas à une maladie au sens des systèmes de classification internationaux reconnus. Les codes Z sont des facteurs qui influent sur l'état de santé et conduisent à l'utilisation des services de santé. Les catégories Z00-Z99 sont destinées aux cas dans lesquels les circonstances sont indiquées comme des « diagnostics » ou des « problèmes » qui ne peuvent être classés comme maladie, blessure ou cause externe selon les catégories A00-Y89. Le burnout en tant que tel ne relève donc pas de la notion d'atteinte significative à la santé au sens du droit des personnes invalides (TF 8C_302/2011 du 20 septembre 2011 consid. 2.3) ; en principe, il ne 10J010</w:t>
      </w:r>
    </w:p>
    <w:p>
      <w:r>
        <w:t>- 21 - constitue donc pas à lui seul une atteinte à la santé invalidante (cf. ATF 127 V 294 consid. 5a p. 299 ; TF 9C_537/2011 du 28 juin 2012 consid. 3.1 ; SVR 2008 IV n° 62 p. 203, TF 9C_830/2007 du 29 juillet 2008 consid. 4.2).</w:t>
      </w:r>
    </w:p>
    <w:p>
      <w:r>
        <w:rPr>
          <w:b/>
        </w:rPr>
        <w:t>E. 7</w:t>
      </w:r>
    </w:p>
    <w:p>
      <w:r>
        <w:t>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8C_105/2022 du 12 juillet 2022 consid. 4.1).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118 V 200 consid. 3a ; ATF 99 V 98 consid. 4 ; TF 9C_253/2024 du 17 octobre 2024 consid. 3.3).</w:t>
      </w:r>
    </w:p>
    <w:p>
      <w:r>
        <w:rPr>
          <w:b/>
        </w:rPr>
        <w:t>E. 8</w:t>
      </w:r>
    </w:p>
    <w:p>
      <w:r>
        <w:t>a) En l'espèce, l'OAI a refusé d'allouer une rente d'invalidité et des mesures professionnelles à la recourante, estimant que celle-ci ne présentait pas d'atteinte à la santé durablement incapacitante. L'OAI s'est fondé sur les conclusions de l'expertise pluridisciplinaire du BF.________ du</w:t>
      </w:r>
    </w:p>
    <w:p>
      <w:r>
        <w:rPr>
          <w:b/>
        </w:rPr>
        <w:t>E. 10</w:t>
      </w:r>
    </w:p>
    <w:p>
      <w:r>
        <w:t>Compte tenu de l'issue du litige, il n'y a pas lieu de donner suite aux mesures d'instruction requises par la recourante.</w:t>
      </w:r>
    </w:p>
    <w:p>
      <w:r>
        <w:rPr>
          <w:b/>
        </w:rPr>
        <w:t>E. 11</w:t>
      </w:r>
    </w:p>
    <w:p>
      <w:r>
        <w:t>a) Le recours doit dès lors être admis et la décision litigieuse annulée, la cause étant renvoyée à l’intimé pour instruction complémentaire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10J010</w:t>
      </w:r>
    </w:p>
    <w:p>
      <w:r>
        <w:t>- 27 - de la mettre à la charge de l'intimé. Cette indemnité couvre le montant qui pourrait être alloué, au titre de l’assistance judiciaire, au mandataire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