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ZD24.042570 vom 28. November 2025</w:t>
      </w:r>
    </w:p>
    <w:p>
      <w:r>
        <w:t>VD Tribunal cantonal, 2025-11-28, FR</w:t>
      </w:r>
    </w:p>
    <w:p>
      <w:r>
        <w:rPr>
          <w:b/>
        </w:rPr>
        <w:t xml:space="preserve">Quelle: </w:t>
      </w:r>
      <w:r>
        <w:t>https://mcp.opencaselaw.ch/entscheid/vd_gerichte_ZD24.042570</w:t>
      </w:r>
    </w:p>
    <w:p>
      <w:r>
        <w:t>FR: VD_GERICHTE ZD24.042570 du 28 novembre 2025</w:t>
      </w:r>
    </w:p>
    <w:p>
      <w:r>
        <w:t>IT: VD_GERICHTE ZD24.042570 del 28 novembre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w:t>
      </w:r>
    </w:p>
    <w:p>
      <w:r>
        <w:t>- 17 -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Selon la jurisprudence, le bien-fondé d'une décision d'octroi, à titre rétroactif, d'une rente limitée dans le temps, doit être examiné à la lumière des conditions de révision du droit à la rente. Aux termes de l'art. 17 LPGA, si le taux d'invalidité du bénéficiaire de la rente subit une modification notable, la rente est, d'office ou sur demande, révisée pour</w:t>
      </w:r>
    </w:p>
    <w:p>
      <w:r>
        <w:t>- 18 -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les références citées ; TF 9C_718/2009 du 4 février 2010 consid. 1.2 et les références citées). b)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(Michel Valterio, Droit de l’assurance-vieillesse et survivants (AVS) et de l’assurance-invalidité (AI), Genève/Zurich/Bâle 2011, pp. 833s n° 3068 et les références citées ; cf. également TF 9C_134/2015 du 3 septembre 2015 consid. 4.1 et les références citées).</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w:t>
      </w:r>
    </w:p>
    <w:p>
      <w:r>
        <w:t>- 19 -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La recourante a été en incapacité totale de travail dans son activité habituelle du 30 octobre 2018 au 3 février 2019, avant de présenter une capacité de travail – fluctuante – dans cette activité entre le</w:t>
      </w:r>
    </w:p>
    <w:p>
      <w:r>
        <w:t>- 32 - 4 février 2019 et le 17 janvier 2021. Il convient donc encore d’évaluer son degré d’invalidité, dans le but de déterminer si elle peut prétendre à l’octroi d’une rente. Ainsi, à l’issue du délai d’attente d’une année prévu à l’art. 28 al. 1 let. b LAI (cf. consid. 4b supra), soit en octobre 2019, l’incapacité de travail s’élevait à 50%. Cette incapacité a perduré jusqu’au 17 janvier 2021, étant précisé que l’incapacité totale de travail du 13 mai au 25 juin 2020 n’a pas à être prise en compte dès lors qu’elle a duré moins de trois mois (cf. art. 88a al. 2 RAI). Durant cette période, le taux d’invalidité se confond avec l’incapacité de travail telle qu’elle a été retenue (application de la méthode en pour-cent ; ATF 114 V 310 consid. 3a ; TF 9C_562/2022 du 12 septembre 2023 ; voir aussi TF 9C_888/2011 du 13 juin 2012 consid. 4.4 et les références). Partant, c’est à juste titre que l’intimé a octroyé en faveur de la recourante une rente d’invalidité à 50% du 1er octobre 2019 au 30 avril 2021, soit trois mois après l’incapacité totale de travail dès le 18 janvier 2021, conformément à l’art 88a al. 2 RAI. Depuis le 18 janvier 2021, la capacité de travail de la recourante dans son activité habituelle est nulle. Dans une acitvité adaptée, la capacité de travail est nulle du 18 janvier au 1er juin 2021 mais de 100% dès le 2 juin 2021.</w:t>
      </w:r>
    </w:p>
    <w:p>
      <w:r>
        <w:rPr>
          <w:b/>
        </w:rPr>
        <w:t>E. 10</w:t>
      </w:r>
    </w:p>
    <w:p>
      <w:r>
        <w:t>Compte tenu d’une capacité de travail de la recourante de 100% dans une activité adaptée dès le 2 juin 2021, l’intimé a procédé au calcul de son degré d’invalidité. A cet égard, la recourante ne conteste pas les revenus sans et avec invalidité retenus par l’intimé mais uniquement le taux d’abattement de 10% sur le revenu d’invalide, qu’elle estime trop faible. a)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t>- 33 - b) En l’occurrence, le taux d’abattement de 10% retenu par l’intimé tient compte des limitations fonctionnelles et de l’âge de la recourante. Les autres facteurs, tels que la langue ou l’absence d’expérience professionnelle dans un domaine autre que celui d’aide de ménage qui n’est plus adapté à son état de santé, n’ont pas à être pris en compte. Il n’y a ainsi pas de motif de s’écarter de ce taux. Compte tenu d’un revenu sans invalidité de 59'391 fr. et d’un revenu avec invalidité de 48'047 fr. 20, la perte économique se monte à 19,10 %, n’ouvrant pas le droit à une rente au-delà du 30 septembre 2021. Partant, l’intimé était également fondé à octroyer à la recourante une rente entière d’invalidité du 1er mai 2021 au 30 septembre 2021, soit trois mois après la reconnaissance d’une capacité totale de travail dans une activité adaptée (art. 88a al. 1 RAI).</w:t>
      </w:r>
    </w:p>
    <w:p>
      <w:r>
        <w:rPr>
          <w:b/>
        </w:rPr>
        <w:t>E. 11</w:t>
      </w:r>
    </w:p>
    <w:p>
      <w:r>
        <w:t>Le dossier est complet et permet à la Cour de céans de statuer en pleine connaissance de cause. Il n’y a dès lors pas lieu de compléter l’instruction par la mise en œuvre d’une nouvelle expertise. Une telle mesure ne serait pas de nature à modifier les considérations qui précèdent, les faits pertinents ayant pu être constatés à satisfaction de droit (appréciation anticipée de la pertinence des preuves : ATF 145 I 167 consid. 4.1 ; 140 I 285 consid. 6.3.1). La conclusion de la recourante prise en ce sens, à titre subsidiaire, doit ainsi être rejetée.</w:t>
      </w:r>
    </w:p>
    <w:p>
      <w:r>
        <w:rPr>
          <w:b/>
        </w:rPr>
        <w:t>E. 12</w:t>
      </w:r>
    </w:p>
    <w:p>
      <w:r>
        <w:t>a) En définitive, le recours, mal fondé, doit être rejeté et la décision attaquée confirmée.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la recourante, qui succombe.</w:t>
      </w:r>
    </w:p>
    <w:p>
      <w:r>
        <w:t>- 34 -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