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ZD24.041728 vom 16. April 2026</w:t>
      </w:r>
    </w:p>
    <w:p>
      <w:r>
        <w:t>VD Tribunal cantonal, 2026-04-16, FR</w:t>
      </w:r>
    </w:p>
    <w:p>
      <w:r>
        <w:rPr>
          <w:b/>
        </w:rPr>
        <w:t xml:space="preserve">Quelle: </w:t>
      </w:r>
      <w:r>
        <w:t>https://mcp.opencaselaw.ch/entscheid/vd_gerichte_ZD24.041728</w:t>
      </w:r>
    </w:p>
    <w:p>
      <w:r>
        <w:t>FR: VD_GERICHTE ZD24.041728 du 16 avril 2026</w:t>
      </w:r>
    </w:p>
    <w:p>
      <w:r>
        <w:t>IT: VD_GERICHTE ZD24.041728 del 16 aprile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10J010</w:t>
      </w:r>
    </w:p>
    <w:p>
      <w:r>
        <w:t>- 11 -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Si le taux d’invalidité du bénéficiaire de rente subit une modification notable, la rente est, d’office ou sur demande, révisée pour 10J010</w:t>
      </w:r>
    </w:p>
    <w:p>
      <w:r>
        <w:t>- 12 -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En vertu de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10J010</w:t>
      </w:r>
    </w:p>
    <w:p>
      <w:r>
        <w:t>- 13 -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7</w:t>
      </w:r>
    </w:p>
    <w:p>
      <w:r>
        <w:t>a) En l’espèce, se fondant sur le rapport d’expertise du 4 décembre 2023 du Dr U.________, l’intimé a octroyé à la recourante une rente du 1er octobre 2020 au 31 décembre 2021. De son côté, la recourante estime au contraire qu’aucune amélioration sensible objectivée de son état de santé, respectivement disparition de ses limitations fonctionnelles, propre à modifier son droit à la rente, n’était survenue à partir du mois de septembre 2021, et que les conclusions de l’expertise précitée du Dr U.________ étaient contredites par de nombreux rapports médicaux au dossier, en particulier par le rapport d’expertise du 4 décembre 2023 des Drs A.________ et S.________. b) Dans son rapport d’expertise du 4 décembre 2023, le Dr U.________ a posé les diagnostics de lésion du plexus brachial multi- tronculaire gauche, touchant surtout la partie inférieure provenant du tronc moyen sur fracture-dislocation de l’épaule gauche avec fracture du trochiter le 24 octobre 2019, exploration du plexus brachial infra-claviculaire et neurolyse le 20 novembre 2019 et arthrolyse et révision arthroscopique de l’épaule gauche avec décompression le 20 août 2021, de spondylarthrose, en cours d’investigation, et de syndrome du tunnel carpien droit, asymptomatique. Il a relevé qu’en raison de ces atteintes, la recourante présentait des douleurs neuropathiques du membre supérieur gauche, une légère amyotrophie au niveau du bras et de l’avant-bras gauche ainsi qu’un déficit moteur intéressant les mouvements du pouce et la flexion des doigts et du carpe. L’examen clinique a été effectué le 30 juin 2023. Au testing musculaire, aucune faiblesse de l'abduction du bras n’a été observée. Le biceps était à M5, le triceps à M5, le brachiobrachial à M5 et la pronation/supination à M5. L’extension du carpe était à M5. Au niveau de la 10J010</w:t>
      </w:r>
    </w:p>
    <w:p>
      <w:r>
        <w:t>- 14 - main gauche, le Dr U.________ a relevé une amyotrophie à prédominance hypo-thénarienne et du 1er interosseux dorsal. L’abduction et l’extension du pouce étaient à M4, le fléchisseur long du pouce à M3-M4, la flexion ulnaire du carpe à M4-, la flexion radiale du carpe à M4-, et la flexion des doigts (fléchisseur profond et superficiel des doigts) à M4. Une hypoesthésie tactile au niveau de l’avant-bras et de la main gauche sur le versant ulnaire était également constatée. Le Dr U.________ a en revanche exclu l’existence d’un syndrome douloureux régional complexe, les critères diagnostics n’étant pas réalisés. Le Dr U.________ a en outre indiqué que le traitement par antalgiques de palier 1 ne correspondait pas à l’intensité douloureuse rapportée et que le faible niveau d’activité ne s’expliquait pas entièrement par les limitations d’ordre neurologique. Par ailleurs, l’intéressée était autonome pour les gestes de la vie quotidienne et disposait de ressources personnelle, familiale et sociale considérables. Il en a déduit que la capacité de travail de la recourante était nulle du 24 octobre 2019 au 23 septembre 2021, cette dernière date correspondant au rapport du Dr L.________, puis de 70 % (100 % avec une diminution de rendement de 30 % due aux douleurs et au manque de dextérité de la main gauche, non dominante) dès le 24 septembre 2021 dans toute activité respectant les limitations fonctionnelles (une activité légère permettant le changement de position était exigible, sans exigence particulière concernant la dextérité et l’endurance bi-manuelle de la main gauche, qui n’a qu’une fonction accessoire ou de maintien, pas de port de charge de plus de 1 kg du côté lésé et de 5 kg du côté sain en raison des cervicalgies, sans soulèvement au-dessus de la tête, pas de porte-à-faux et pas d’exposition au froid et au chaud), précisant que l’activité habituelle de secrétaire de direction de la recourante était adaptée à ces limitations. c) Dans leur rapport d’expertise du 4 décembre 2023, réalisée à la demande de l’assureur-accidents de la recourante, les Drs A.________ et S.________ ont posé, sur le plan neurologique, les diagnostics de status après atteinte plexuelle brachiale gauche, à prédominance du tronc inférieur, dans un contexte de fracture luxation de l’épaule survenue à la suite d’une chute le 24 octobre 2019 et de troubles moteurs modérés sans explication neurologique au niveau de la main droite, et, sur le plan de la médecine 10J010</w:t>
      </w:r>
    </w:p>
    <w:p>
      <w:r>
        <w:t>- 15 - physique et réadaptation, les diagnostics d’omalgies gauches d’origine possiblement neurologique, de déficit d’abduction et de flexion de l’épaule gauche dans un contexte algique et d’atteinte plexulaire évaluée dans le volet neurologique, de status après traumatisme de l’épaule gauche en octobre 2019, avec fracture du trochiter et luxation traitée conservativement ; IRM de l’épaule gauche de septembre 2020 : fracture consolidée, absence de lésion signification de la coiffe des rotateurs, de status après réparation de la coiffe des rotateurs à l’épaule gauche en 2015, de status après décompression sous acromiale de l’épaule gauche en août 2021, de cervicalgies sur cervicarthrose, de status après prothèse totale de la hanche gauche ainsi que de gonalgies antérieures modérées, mécaniques, vraisemblablement dans le cadre de gonarthrose. Lors de l’examen clinique réalisé le 26 septembre 2023, l’expert neurologue a en particulier observé une limitation douloureuse de la mobilité de l’épaule gauche et de la nuque ainsi qu’un flexum partiel des doigts gauches. Au testing de la force musculaire, l’expert ne notait aucun déficit moteur significatif au niveau du membre supérieur droit, y compris au niveau de la main, avec une force à M5 sur tous les groupes musculaires ; au niveau du membre supérieur gauche, l’abduction et l’élévation du bras paraissaient préservées (petit lâchage antalgique) ; la flexion de l’avant-bras sur le bras est à M5 ; l’extension de l’avant-bras sur le bras était également à M5 ; l’extension du poignet lui-même était à M4/5 alors que l’extension des doigts (phalanges proximales) était à M4 ; la flexion du pouce était à M1 ; l’extension des doigts (phalanges distales) était à M1 ; la flexion des doigts était à M3/4 ; les mouvements d'adduction/abduction des doigts étaient à M3/M4. A l'examen de la sensibilité, aucun trouble sensitif superficiel et profond n'était objectivé au niveau du membre supérieur droit ; au niveau du membre supérieur gauche, il observait une zone d'hypodysesthésie intéressant l’ensemble de l’avant-bras et de la main. La sensibilité posturale était préservée ; la pallesthésie était donnée à 4-5/8. L’expert en médecine physique et réadaptation a, quant à lui, notamment indiqué que les mouvements rapides des doigts semblaient ralentis à droite et pratiquement impossibles à gauche. La mobilité active de l’épaule gauche était limitée avec une flexion à 90° à peine à l'horizontale et une abduction très limitée à 45°, une rotation externe limitée à gauche à 30° contre 50° à 10J010</w:t>
      </w:r>
    </w:p>
    <w:p>
      <w:r>
        <w:t>- 16 - droite. L’enroulement des doigts était complet à droite avec une opposition complète du pouce ; à gauche, la mobilité des doigts était limitée en actif à quelques degrés de flexion/extension, en passif, l'enroulement était complet, l’opposition du pouce était complète à gauche en actif. Les experts ont estimé que la capacité de travail de la recourante était nulle dans toute activité jusqu’à la date de l’expertise, tandis qu’elle était totale dans une activité adaptée aux limitations fonctionnelles (pas d’activité nécessitant essentiellement l’utilisation de force et répétitive du membre supérieur gauche chez une droitière, pas d’activité en élévation prolongée du bras gauche pas d’activité nécessitant la frappe sur ordinateur ; les activités de contact, de formation, de gestion immédiate du secteur hôtelier, d’organisation orale de réunion étaient possibles). Ils ont ajouté que le traitement uniquement par Dafalgan pouvait être poursuivi, qu’il n’y avait pas d’indication à d’autres mesures thérapeutiques et qu’une reconversion professionnelle nécessitant un réapprentissage important paraissant inenvisageable compte tenu de l’âge de l’intéressée. d) En l’occurrence, au vu des éléments précités, force est de constater que, si les examens cliniques de la main gauche sont globalement superposables, l’évaluation de la capacité de travail et les limitations fonctionnelles qui en découlent diffèrent sensiblement, ce qui ne permet pas à la Cour de céans d’évaluer de manière satisfaisante la capacité de travail de la recourante dans son activité habituelle ou dans une activité adaptée, ni, le cas échéant, à quel moment une telle capacité aurait durablement été recouvrée. Dans la mesure où l’on ne voit pas, à la lecture des différentes expertises, de motifs reconnaissables pour le juge qui justifieraient d’écarter d’emblée un avis au profit d’un autre, une nouvelle expertise serait ainsi nécessaire pour déterminer la capacité de travail ainsi que les limitations fonctionnelles de la recourante.</w:t>
      </w:r>
    </w:p>
    <w:p>
      <w:r>
        <w:rPr>
          <w:b/>
        </w:rPr>
        <w:t>E. 8</w:t>
      </w:r>
    </w:p>
    <w:p>
      <w:r>
        <w:t>a) Il apparaît cependant, au vu des circonstances du cas d’espèce, qu’il peut être renoncé au renvoi du dossier à l’OAI en vue de la mise en place d’une telle expertise, respectivement de mettre en œuvre une expertise judiciaire. La question litigieuse consiste en effet à déterminer s’il existe un motif de révision de la rente entière d’invalidité octroyée à la 10J010</w:t>
      </w:r>
    </w:p>
    <w:p>
      <w:r>
        <w:t>- 17 - recourante depuis le 1er octobre 2020. Or, même si l’expertise à mettre en place arrivait à la conclusion que la recourante avait retrouvé une capacité de travail – dans son activité habituelle ou dans une activité adaptée – propre à influencer son degré d’invalidité, il faut constater, comme cela va être démontré ci-dessous, que l’exercice d’une activité professionnelle n’apparaît pas exigible compte tenu de la situation de la recourante.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8C_627/2023 du 3 juillet 2024 consid. 7.2 ; TF 8C_407/2018 du 3 juin 2019 consid. 5.2).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du 21 mai 2024 consid. 5 et les références citées).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10J010</w:t>
      </w:r>
    </w:p>
    <w:p>
      <w:r>
        <w:t>- 18 -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et TF 8C_761/2014 du 15 octobre 2015 consid. 3.2.2). c)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citées). Il est par ailleurs admis que le seuil à partir duquel on peut parler d'âge avancé se situe autour de 60 ans, même si le Tribunal fédéral n'a pas fixé d'âge limite jusqu'à présent (TF 8C_173/2023 du 23 novembre 2023 consid. 3.3 et les références citées). d) En l’espèce, si une nouvelle expertise (judiciaire) devait être mise en œuvre, ses résultats n’auraient quoi qu’il en soit pas pu être disponibles avant que la recourante n’ait atteint l’âge de référence de 64 ans et trois mois le ***2025 (art. 21 al. 2 LAVS [Loi fédérale sur l’assurance- vieillesse et survivants ; RS 831.10] en relation avec les dispositions transitoires de la modification du 17 décembre 2021 [AVS 21] de la LAVS), excluant de facto l’exigibilité de la reprise d’une activité professionnelle.</w:t>
      </w:r>
    </w:p>
    <w:p>
      <w:r>
        <w:rPr>
          <w:b/>
        </w:rPr>
        <w:t>E. 9</w:t>
      </w:r>
    </w:p>
    <w:p>
      <w:r>
        <w:t>a) Compte tenu de ce qui précède, le recours est admis. La décision rendue le 5 août 2024 par l’intimé est réformée en ce sens que la recourante a droit au maintien de sa rente entière d’invalidité au-delà du 31 décembre 2021 jusqu’au ***2025, (date à partir de laquelle elle a pu prétendre à une rente de vieillesse de l'AVS ; art. 30 let. b LAI en relation avec l'art. 21 al. 1 al. 2 LAVS et les dispositions transitoires de la modification du 17 décembre 2021 [AVS 21] de la LAVS). 10J010</w:t>
      </w:r>
    </w:p>
    <w:p>
      <w:r>
        <w:t>- 19 -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