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ZD24.041725 vom 29. Januar 2026</w:t>
      </w:r>
    </w:p>
    <w:p>
      <w:r>
        <w:t>VD Tribunal cantonal, 2026-01-29, FR</w:t>
      </w:r>
    </w:p>
    <w:p>
      <w:r>
        <w:rPr>
          <w:b/>
        </w:rPr>
        <w:t xml:space="preserve">Quelle: </w:t>
      </w:r>
      <w:r>
        <w:t>https://mcp.opencaselaw.ch/entscheid/vd_gerichte_ZD24.041725</w:t>
      </w:r>
    </w:p>
    <w:p>
      <w:r>
        <w:t>FR: VD_GERICHTE ZD24.041725 du 29 janvier 2026</w:t>
      </w:r>
    </w:p>
    <w:p>
      <w:r>
        <w:t>IT: VD_GERICHTE ZD24.041725 del 29 gennaio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10J010</w:t>
      </w:r>
    </w:p>
    <w:p>
      <w:r>
        <w:t>- 9 -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10J010</w:t>
      </w:r>
    </w:p>
    <w:p>
      <w:r>
        <w:t>- 10 -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d)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w:t>
      </w:r>
    </w:p>
    <w:p>
      <w:r>
        <w:rPr>
          <w:b/>
        </w:rPr>
        <w:t>E. 6</w:t>
      </w:r>
    </w:p>
    <w:p>
      <w:r>
        <w:t>a) Il convient tout d’abord de constater qu’un défaut d’instruction sur le plan psychique ne saurait être reproché à l’intimé au vu des pièces du dossier. En effet, aucun rapport médical ne permet de 10J010</w:t>
      </w:r>
    </w:p>
    <w:p>
      <w:r>
        <w:t>- 11 - suspecter une atteinte à la santé, et partant une incapacité de travail, sur le plan psychique. Bien au contraire, cet aspect a été examiné par les médecins de la J.________, qui ont écarté la présence d’un trouble psychiatrique et la nécessité d’explorer plus avant cet aspect. A noter qu’au stade du recours, le recourant s’est limité à alléguer que le dossier mettrait en évidence un moral devenu moins bon à la suite de l’accident de 2021 et des pensées noires récurrentes, sans apporter le moindre élément de nature à rendre plausible l’existence d’une atteinte psychiatrique incapacitante. b) Concernant le volet somatique, durant la procédure de recours devant la Cour de céans, le recourant a produit des rapports médicaux du Dr N.________ faisant état de la présence d’une atteinte neurologique périphérique du membre supérieur droit. Si les rapports du Dr N.________ sont postérieurs à la décision attaquée du 29 juillet 2024, le problème neurologique du recourant était déjà présent lorsque l’intimé a rendu cette décision, comme cela ressort du rapport du Dr D.________ du 26 janvier 2024. Le trouble neurologique aurait donc dû être pris en considération dans l’examen du droit aux prestations du recourant. Or, comme l’admet l’intimé, sur la base d’un avis du SMR du 2 juillet 2025, cette problématique neurologique n’a pas été prise en compte dans le cadre de la décision attaquée. Par ailleurs, cette atteinte à la santé nécessite des mesures d’instruction supplémentaires, l’incidence du trouble neurologique sur les limitations fonctionnelles du recourant et sur sa capacité de travail n’ayant pas été investiguée par l’intimé. Au vu de ce qui précède, l’instruction apparaît lacunaire et l’impact des troubles que présente le recourant au membre supérieur droit doit faire l’objet d’une évaluation pluridisciplinaire, comprenant à la fois un volet orthopédique et un volet neurologique. Il convient par conséquent de renvoyer la cause à l’intimé, dès lors que c’est à lui qu’il incombe en premier lieu d’instruire, conformément au principe inquisitoire qui régit la procédure dans le domaine des assurances sociales (art. 43 al. 1 LPGA). Il lui appartiendra de déterminer dans un premier temps sous quelle forme le complément d’instruction devra intervenir, à savoir par le biais d’un examen 10J010</w:t>
      </w:r>
    </w:p>
    <w:p>
      <w:r>
        <w:t>- 12 - médical bi-disciplinaire (orthopédique et neurologique) réalisé par le SMR en vertu de l’art. 49 al. 2 RAI ou par le biais d’une expertise bi-disciplinaire (orthopédique et neurologique) au sens de l’art. 44 LPGA, de procéder ensuite aux mesures d’investigation adéquates, puis de rendre une nouvelle décision. c) Compte tenu de l’issue du recours, la requête du recourant tendant à la mise en œuvre d’une expertise judiciaire peut être rejetée.</w:t>
      </w:r>
    </w:p>
    <w:p>
      <w:r>
        <w:rPr>
          <w:b/>
        </w:rPr>
        <w:t>E. 7</w:t>
      </w:r>
    </w:p>
    <w:p>
      <w:r>
        <w:t>En définitive, le recours doit être admis et la décision attaquée annulée, la cause étant renvoyée à l’intimé pour complément d’instruction dans le sens des considérants, puis nouvelle décision. La procédure de recours en matière de contestations portant sur des prestations de l’assurance-invalidité est soumise à des frais de justice (art. 69 al. 1bis LAI). Il convient de les fixer à 600 fr. et de les mettre à la charge de la partie intimée, vu l’issue du litige.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