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ZD24.041178 vom 13. März 2025</w:t>
      </w:r>
    </w:p>
    <w:p>
      <w:r>
        <w:t>VD Tribunal cantonal, 2025-03-13, FR</w:t>
      </w:r>
    </w:p>
    <w:p>
      <w:r>
        <w:rPr>
          <w:b/>
        </w:rPr>
        <w:t xml:space="preserve">Quelle: </w:t>
      </w:r>
      <w:r>
        <w:t>https://mcp.opencaselaw.ch/entscheid/vd_gerichte_ZD24.041178</w:t>
      </w:r>
    </w:p>
    <w:p>
      <w:r>
        <w:t>FR: VD_GERICHTE ZD24.041178 du 13 mars 2025</w:t>
      </w:r>
    </w:p>
    <w:p>
      <w:r>
        <w:t>IT: VD_GERICHTE ZD24.041178 del 13 marzo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- 11 -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(dans sa teneur en vigueur au 1er janvier 2022), qui prévoit que la rente d’invalidité est, d’office ou sur demande, révisée pour l’avenir, à savoir augmentée, réduite ou supprimée, lorsque le taux d’invalidité de l’assuré subit une modification d’au moins 5 points de pourcentage (let. a), ou atteint 100 % (let. b).</w:t>
      </w:r>
    </w:p>
    <w:p>
      <w:r>
        <w:t>- 12 -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w:t>
      </w:r>
    </w:p>
    <w:p>
      <w:r>
        <w:t>- 13 -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l’intimé statuait sur la seconde demande du recourant. Lors de la première procédure, l’instruction a porté sur les douleurs de la main droite persistant depuis son accident du 19 novembre 2018. Sur la base des constatations des médecins du Service D.________, ainsi que d’un rapport d’examen du Dr C.________, il a été retenu que l’atteinte touchant la main droite ne permettait plus au recourant de reprendre une activité telle que celle qu’il occupait au moment de son accident, mais que sa capacité de travail était entière dans une activité adaptée à ses limitations fonctionnelles. A l’appui de sa seconde demande, l’assuré a fait état d’un nouvel accident professionnel touchant sa main droite et a produit des pièces médicales indiquant que le diagnostic d’hémochromatose avait été posé en fin d’année 2023. L’intimé est dès lors entré en matière et s’est adressé à l’assurance-accidents ainsi qu’aux médecins et spécialistes traitants indiqués par le recourant. Les pièces recueillies ont été soumises pour analyse SMR, qui a conclu à l’absence de modification significative de l’état de santé du recourant depuis le premier examen. b) Dans ses objections du 17 mai 2024 au projet de décision de l’intimé, le recourant s’est référé aux limitations fonctionnelles décrites dans le courrier de la CNA du 24 mai 2024. Il s’agit cependant d’un courrier par lequel la CNA a informé l’assuré de la fin prochaine du paiement des prestations de l’assurance- accidents dans la mesure où il présentait une capacité de travail entière dans une activité respectant les limitations fonctionnelles induites par son atteinte à la main droit. Sur ce point, le médecin d’arrondissement a</w:t>
      </w:r>
    </w:p>
    <w:p>
      <w:r>
        <w:t>- 14 - confirmé les limitations qu’il avait décrites en 2019, et qui avaient été retenues par l’intimé dans sa décision du 2 mars 2020, à savoir : pas de port de charge au-delà de 5 kg, pas de force d’empoignade supérieure à 4 kg incluant des manœuvres. Il était par ailleurs précisé que la dextérité fine des doigts était possible, avec l’utilisation de souris informatiques ou d’éléments fins distaux, de même que le porté à plat passif avec l’aide du membre supérieur gauche ou l’utilisation comme levier des deux membres supérieurs à condition que le poignet ne soit pas mis en tension. Dans les suites de l’accident du 16 février 2023, les médecins traitants du recourant ont délivré des arrêts de travail, dès lors que l’activité exercée par le recourant était un travail manuel nécessitant l’utilisation en force de la main droite. En revanche, bien qu’interrogés spécifiquement à ce sujet près d’une année après l’accident, les médecins du Service D.________ ne se sont pas prononcés sur la capacité de travail dans une activité respectant les limitations fonctionnelles. Or, dans son rapport du 6 février 2024, le Dr Z.________ a mentionné uniquement les limitations fonctionnelles suivantes : douleurs au poignet limitant la mobilité du poignet droit, sa dextérité, limitant fortement toute tâche manuelle en force. Ces conclusions sont superposables à celles du Dr C.________. Il apparaît en outre que le diagnostic de CRPS, évoqué au cours d’une consultation au Service D.________ en août 2023, n’a pas été confirmé par la suite. Quant au diagnostic d’hémochromatose posé en automne 2023, il n’a pas même été mentionné par le médecin généraliste traitant dans son rapport du 1er avril 2024. Il faut ainsi constater, à l’instar de l’intimé et du SMR, qu’il n’existe pas d’élément médical plaidant dans le sens d’une aggravation de l’état de santé du recourant depuis la première décision de l’intimé. c) En définitive, le recourant a principalement fait valoir dans ses écritures que ses limitations fonctionnelles constituaient un frein à ses recherches d’emploi. A ce propos, il convient de rappeler que l’art. 16 LPGA définit l’invalidité en se référant à la notion de marché du travail équilibré (art. 16</w:t>
      </w:r>
    </w:p>
    <w:p>
      <w:r>
        <w:t>- 15 - LPGA). Il s’agit d’une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 TF 8C_627/2023 du 3 juillet 2024 consid. 7.2 et la référence). Certes,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8C_627/2023 précité consid. 7.2 et la référence). En l’occurrence, la question de l’exigibilité d’un changement d’activité a été dûment examinée par l’intimé au moment de statuer sur la première demande de prestations du recourant. Il a été relevé, dans la fiche de calcul du salaire exigible du 6 janvier 2020, que l’intéressé</w:t>
      </w:r>
    </w:p>
    <w:p>
      <w:r>
        <w:t>- 16 -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Les limitations fonctionnelles du recourant n’ayant pas changé, il n’y a pas lieu de revenir sur cette appréciation, étant au demeurant relevé que seuls les travaux de force impliquant la main droite sont proscrits.</w:t>
      </w:r>
    </w:p>
    <w:p>
      <w:r>
        <w:rPr>
          <w:b/>
        </w:rPr>
        <w:t>E. 6</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En principe, la partie dont les conclusions sont rejetées supporte les frais de procédure (art. 49 al. 1 LPA-VD, applicable par renvoi des art. 91 et 99 LPA-VD). Il sera cependant exceptionnellement renoncé à la perception de frais judiciaires au vu des circonstances (art. 50 LPA-VD). La partie recourante n’a pas droit à des dépens, dès lors qu’elle n’obtient pas gain de cause et qu’elle a procédé sans mandataire qualifié (art. 61 let. g LPGA ; ATF 127 V 205 consid. 4b).</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