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ZD24.041171 vom 12. Mai 2025</w:t>
      </w:r>
    </w:p>
    <w:p>
      <w:r>
        <w:t>VD Tribunal cantonal, 2025-05-12, FR</w:t>
      </w:r>
    </w:p>
    <w:p>
      <w:r>
        <w:rPr>
          <w:b/>
        </w:rPr>
        <w:t xml:space="preserve">Quelle: </w:t>
      </w:r>
      <w:r>
        <w:t>https://mcp.opencaselaw.ch/entscheid/vd_gerichte_ZD24.041171</w:t>
      </w:r>
    </w:p>
    <w:p>
      <w:r>
        <w:t>FR: VD_GERICHTE ZD24.041171 du 12 mai 2025</w:t>
      </w:r>
    </w:p>
    <w:p>
      <w:r>
        <w:t>IT: VD_GERICHTE ZD24.041171 del 12 maggio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estivales (art. 60 et 38 al. 4 let. b LPGA),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Le litige porte sur le droit du recourant à une rente d’invalidité au-delà du 31 mai 2022. b) Dans le cadre du « développement continu de l'AI », la LAI, le RAI (règlement du 17 janvier 1961 sur l’assurance-invalidité ; RS 831.201) et la LPGA – notamment – ont été modifiés avec effet au 1er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1er janvier 2022, comme en l’espèce, la situation demeure régie par les anciennes dispositions légales et réglementaires en vigueur jusqu’au 31 décembre 2021.</w:t>
      </w:r>
    </w:p>
    <w:p>
      <w:r>
        <w:rPr>
          <w:b/>
        </w:rPr>
        <w:t>E. 3</w:t>
      </w:r>
    </w:p>
    <w:p>
      <w:r>
        <w:t>a) L’assuré a droit à une rente si sa capacité de gain ou sa capacité d’accomplir ses travaux habituels ne peut pas être rétablie,</w:t>
      </w:r>
    </w:p>
    <w:p>
      <w:r>
        <w:t>- 12 -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c)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Ces dispositions sont applicables, par analogie, lorsqu’un office de l’assurance-invalidité alloue, avec effet rétroactif, une rente d’invalidité temporaire ou échelonnée (ATF 145 V 209 consid. 5.3 ; 131 V 164 consid. 2.2 ; 125 V 413 consid. 2d).</w:t>
      </w:r>
    </w:p>
    <w:p>
      <w:r>
        <w:t>- 13 -</w:t>
      </w:r>
    </w:p>
    <w:p>
      <w:r>
        <w:rPr>
          <w:b/>
        </w:rPr>
        <w:t>E. 4</w:t>
      </w:r>
    </w:p>
    <w:p>
      <w:r>
        <w:t>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w:t>
      </w:r>
    </w:p>
    <w:p>
      <w:r>
        <w:rPr>
          <w:b/>
        </w:rPr>
        <w:t>E. 5</w:t>
      </w:r>
    </w:p>
    <w:p>
      <w:r>
        <w:t>L’OAI a retenu que l’assuré avait été totalement incapable de travailler dans toutes activités du 18 octobre 2018 au 28 février 2022, mais avait retrouvé une pleine capacité de travail dans une activité adaptée à ses limitations fonctionnelles dès le 1er mars 2022. Il a en particulier fondé son appréciation sur l’avis du médecin de la CNA. a) aa) Sur le plan psychiatrique, le recourant se prévaut des conclusions de l’expertise privée qu’il a confiée au Dr W.________, considérant que son incapacité de travail a perduré au-delà du mois de février 2022. Dans son rapport d’expertise privée, le Dr W.________ a établi une anamnèse personnelle, professionnelle, sociale et médicale, précisant l'évolution des troubles psychiques en se fondant sur les rapports en sa possession et sur les déclarations de l'assuré. Il a rapporté les plaintes spontanées de l'assuré ainsi que les plaintes dirigées, précisant leur</w:t>
      </w:r>
    </w:p>
    <w:p>
      <w:r>
        <w:t>- 14 - retentissement dans les activités de la vie quotidienne et dans les relations sociales. Il a réalisé son examen clinique en analysant les critères majeurs de la dépression selon la CIM-10 et en procédant à des tests et mesures psychométriques. Il a ainsi retenu des symptômes dépressifs et anxieux dans un contexte de trouble de l’adaptation avec réaction anxieuse et dépressive avant février 2022, ayant évolué vers un épisode dépressif sévère sans symptômes psychotiques depuis lors, puis vers un épisode dépressif moyen avec syndrome somatique entre décembre 2022 et février 2023 lequel était en rémission depuis mars 2023. Sur la base de ces éléments, il a retenu les diagnostics d’épisode dépressif sévère sans symptômes psychotiques entre février 2022 et novembre 2022 ainsi que d'épisode dépressif moyen avec syndrome somatique entre décembre 2022 et février 2023, qui avaient eu un effet sur la capacité de travail. L’expert a estimé que l’assuré avait été incapable de travailler de février à novembre 2022, puis à 50 % jusqu'en février 2023, retrouvant depuis lors une pleine capacité de travail. Ces éléments jettent un doute sur les conclusions de l’intimé concernant la capacité de travail de l’assuré. Ils n’emportent toutefois pas la conviction. En effet, l'expert W.________ n’a pas expliqué de manière détaillée les raisons l’ayant amené à retenir ces diagnostics et n’expose pas davantage les éléments l'amenant à considérer que l’assuré a présenté un trouble de l'adaptation qui a évolué vers un épisode dépressif. L'expert évoque également des traits de personnalité, sans les étayer, et considère que ceux-ci augmentent les risques d'accidents à répétition, sans expliquer son propos, que l'on peine d’ailleurs à saisir ce d’autant plus en présence de traits non décompensés. Au demeurant, l’expert psychiatre ne se positionne pas sur le diagnostic de fibromyalgie retenu par les médecins, l'évoquant tout au plus dans le chapitre des antécédents somatiques. Or, c'est au moyen des indicateurs applicables en matière de trouble psychique qu'une fibromyalgie doit être évaluée, examen auquel le Dr W.________ ne s’est pas livré. S’agissant de l'appréciation du psychiatre traitant, selon laquelle l'assuré serait totalement incapable de travailler en raison d'un trouble dépressif sévère, l’expert W.________ a indiqué que les activités réalisées par l'assuré ne sont pas compatibles</w:t>
      </w:r>
    </w:p>
    <w:p>
      <w:r>
        <w:t>- 15 - avec une telle incapacité. Il n'a cependant pas clairement pris position sur ces incohérences. Enfin, alors qu'il retient une rémission de l'épisode dépressif au motif que l'assuré a repris une activité lucrative, l’expert semble se fonder uniquement sur les déclarations de ce dernier, ne détaillant pas sa journée-type de travail et ne prenant pas en considération l'appréciation négative de la psychiatre traitante à ce propos. L’expertise du Dr W.________ ne peut dès lors pas être suivie au vu de son caractère incomplet. Elle met toutefois en lumière une incapacité de travail qui semble avoir perduré au-delà du mois de février 2022. bb) Sur le plan somatique, le rapport du 4 juin 2024 de la Dre D.________ produit par le recourant fait état d'une aggravation de la fibromyalgie et de la survenue d’un nouvel accident ayant occasionné une fracture costale en février 2024, soit avant que la décision entreprise ne soit rendue. Si la Dre D.________ semble, dans un premier temps, mettre en lien l’aggravation de la fibromyalgie avec la fracture costale, comme le relève le SMR, la médecin évoque toutefois une aggravation généralisée de la symptomatologie douloureuse touchant les genoux, le rachis, les épaules et le thorax, et pas uniquement la zone costale. Cela étant, dès lors que le diagnostic de la fibromyalgie doit être posé à l'issue d'une procédure structurée réalisée au moyen des indicateurs, ce qui n'a pas été le cas en l'occurrence, et que l'aggravation généralisée des douleurs semble avoir eu lieu avant que la décision entreprise ne soit rendue, il y a lieu de constater que cet aspect de l’état de santé de l’assuré doit faire l'objet d'un complément d'instruction. b) Il ressort des considérants qui précèdent que l’instruction menée par l’intimé est lacunaire et ne permet pas de se prononcer en connaissance de cause, au vu des incohérences qui perdurent dans cette situation complexe. Il convient par conséquent de renvoyer la cause à cette autorité, dès lors que c’est à elle qu’il incombe en premier lieu d’instruire, conformément au principe inquisitoire qui régit la procédure dans le domaine des assurances sociales (art. 43 al. 1 LPGA). Il lui appartiendra de mettre en œuvre une expertise pluridisciplinaire, comportant un volet psychiatrique, rhumatologique, orthopédique et de</w:t>
      </w:r>
    </w:p>
    <w:p>
      <w:r>
        <w:t>- 16 - médecine interne, afin de clarifier les atteintes dont souffre l’assuré et leurs effets sur sa capacité de travail passée et future, ainsi que d’évaluer la situation dans son ensemble, étant précisé que les effets d’une éventuelle fibromyalgie doivent être évalués sur la base de la procédure structurée, au moyen des indicateurs applicables en présence de troubles psychiatriques (TF 9C_808/2019 du 18 août 2020 consid. 5.1).</w:t>
      </w:r>
    </w:p>
    <w:p>
      <w:r>
        <w:rPr>
          <w:b/>
        </w:rPr>
        <w:t>E. 6</w:t>
      </w:r>
    </w:p>
    <w:p>
      <w:r>
        <w:t>mai 2021 consid. 2.2 et les arrêts cités). bb) Le recourant a requis que les frais du rapport d'expertise privée soient mis à la charge de l'OAI, sans toutefois formuler de conclusions formelles au pied de son recours. Cela étant, il apparaît que cette expertise a permis de mettre en lumière les lacunes de l'instruction menée par l'OAI et de justifier le renvoi de la cause pour instruction complémentaire, ce que l'OAI a au demeurant admis. Les frais du rapport d'expertise, par 3'500 fr. au vu de la facture établie le 11 avril 2024, seront par conséquent mis à la charge de l'OAI.</w:t>
      </w:r>
    </w:p>
    <w:p>
      <w:r>
        <w:t>- 17 - d) La partie recourante obtient gain de cause et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