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ZD24.040140 vom 23. Januar 2025</w:t>
      </w:r>
    </w:p>
    <w:p>
      <w:r>
        <w:t>VD Tribunal cantonal, 2025-01-23, FR</w:t>
      </w:r>
    </w:p>
    <w:p>
      <w:r>
        <w:rPr>
          <w:b/>
        </w:rPr>
        <w:t xml:space="preserve">Quelle: </w:t>
      </w:r>
      <w:r>
        <w:t>https://mcp.opencaselaw.ch/entscheid/vd_gerichte_ZD24.040140</w:t>
      </w:r>
    </w:p>
    <w:p>
      <w:r>
        <w:t>FR: VD_GERICHTE ZD24.040140 du 23 janvier 2025</w:t>
      </w:r>
    </w:p>
    <w:p>
      <w:r>
        <w:t>IT: VD_GERICHTE ZD24.040140 del 23 gennaio 2025</w:t>
      </w:r>
    </w:p>
    <w:p>
      <w:pPr>
        <w:pStyle w:val="Heading2"/>
      </w:pPr>
      <w:r>
        <w:t>Erwägungen</w:t>
      </w:r>
    </w:p>
    <w:p>
      <w:r>
        <w:rPr>
          <w:b/>
        </w:rPr>
        <w:t>E. 5</w:t>
      </w:r>
    </w:p>
    <w:p>
      <w:r>
        <w:t>a) En définitive, le recours, bien fondé, doit être admis et la décision rendue le 30 juillet 2024 par l’intimé annulée. La cause est renvoyée à ce dernier afin qu’il entre en matière sur la demande de prestations déposée le 21 juin 2023 par le recourant. b) La procédure de recours en matière de contestations portant sur des prestations de l’assurance-invalidité est soumise à des frais de justice (art. 69 al. 1bis LAI). Il convient de les fixer à 600 fr. et de les mettre à la charge de la partie intimée, vu l’issue du litige.</w:t>
      </w:r>
    </w:p>
    <w:p>
      <w:r>
        <w:t>- 14 -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Par décision du 9 septembre 2024 du juge instructeur, la partie recourante a été mise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