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ZD24.039757 vom 21. Oktober 2025</w:t>
      </w:r>
    </w:p>
    <w:p>
      <w:r>
        <w:t>VD Tribunal cantonal, 2025-10-21, FR</w:t>
      </w:r>
    </w:p>
    <w:p>
      <w:r>
        <w:rPr>
          <w:b/>
        </w:rPr>
        <w:t xml:space="preserve">Quelle: </w:t>
      </w:r>
      <w:r>
        <w:t>https://mcp.opencaselaw.ch/entscheid/vd_gerichte_ZD24.039757</w:t>
      </w:r>
    </w:p>
    <w:p>
      <w:r>
        <w:t>FR: VD_GERICHTE ZD24.039757 du 21 octobre 2025</w:t>
      </w:r>
    </w:p>
    <w:p>
      <w:r>
        <w:t>IT: VD_GERICHTE ZD24.039757 del 21 ottobre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- 15 -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w:t>
      </w:r>
    </w:p>
    <w:p>
      <w:r>
        <w:t>- 16 -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w:t>
      </w:r>
    </w:p>
    <w:p>
      <w:r>
        <w:t>- 17 - 2011 consid. 6.1.2 et les références citées). Cela vaut également lorsqu’un ou plusieurs médecins ont émis une opinion divergeant de celle de l’expert (TF 9C_268/2011 précité consid. 6.1.2 et les références citées). e)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8C_509/2024 du 28 janvier 2025 consid. 3.2 ; TF 8C_231/2024 du 3 décembre 2024 consid. 2.2).</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8C_105/22 du 12 juillet 2022 consid. 4.1).</w:t>
      </w:r>
    </w:p>
    <w:p>
      <w:r>
        <w:t>- 18 -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9C_253/2024 du 17 octobre 2024 consid. 3.3).</w:t>
      </w:r>
    </w:p>
    <w:p>
      <w:r>
        <w:rPr>
          <w:b/>
        </w:rPr>
        <w:t>E. 8</w:t>
      </w:r>
    </w:p>
    <w:p>
      <w:r>
        <w:t>juillet 2024, complété le 19 décembre 2024, cet expert a retenu, comme diagnostics avec effet sur la capacité de travail, des dorsolombalgies chroniques, non déficitaires, dans un contexte de troubles dégénératifs articulaires postérieurs légers au niveau dorsal, modérés au niveau lombaire et d’une protrusion L2-3 paramédiane droite depuis juillet 2021, une capacité de travail nulle dans l’activité habituelle et une capacité de travail entière dans une activité adaptée dès le 25 septembre 2022, sous réserve des limitations fonctionnelles d’épargne du rachis dorso-lombaires suivantes : - l'absence d'attitude prolongée en porte-à-faux ; - l'absence de mouvement répété de flexion-extension du tronc, de rotations rapides du tronc ; - l'absence de position assise ou debout prolongée au-delà de 45 minutes et de position debout statique prolongée au-delà de 20 minutes ; - l'absence de montée-descente répétée d'escalier ; - l’absence de port de charges au-delà de 5 kg. bb) Cette expertise remplit, sur le plan formel, les réquisits jurisprudentiels pour se voir accorder une pleine valeur probante. Elle a en effet été ordonnée par une autorité judiciaire dans le cadre du litige avec l’assureur perte de gain et confiée à un spécialiste en rhumatologie, étranger au traitement de la recourante et à l’assureur, qui a analysé la situation en pleine connaissance des documents médicaux figurant au dossier depuis 2017 (y compris l’expertise de 2021 et la documentation d’hospitalisation de septembre 2022). Il a, en outre, établi une anamnèse détaillée, procédé à un examen clinique complet et actualisé, et a discuté les pièces médicales divergentes, exposant de manière convaincante pourquoi et en quoi il se distanciait des conclusions retenues par l’expertise rhumatologique du X.________ dans le cadre de son complément du 19 décembre 2024. Les rapports des 8 juillet et 19 décembre 2024 sont clairs, structurés, dûment motivés, et démontrent que les questions litigieuses ont été examinées de manière approfondie. L’expert y précise avoir conduit son évaluation en s’abstenant volontairement, dans un premier temps, de</w:t>
      </w:r>
    </w:p>
    <w:p>
      <w:r>
        <w:t>- 20 - consulter l’expertise tri-disciplinaire du X.________ afin de ne pas être influencé, avant d’en discuter expressément les divergences dans un second temps. cc) Sur le plan matériel, l’expert a posé des diagnostics cohérents avec les constatations cliniques et l’imagerie, de manière motivée et détaillée, en se référant, pour certains d’entre eux, à un système de classification reconnu, à savoir la Classification statistique internationale des maladies et des problèmes de santé connexes (CIM-10). Il a décrit précisément les limitations fonctionnelles et motivé la datation de la récupération de la capacité de travail entière dans une activité adaptée au 25 septembre 2022 par la stabilisation constatée après l’hospitalisation en rhumatologie. Bien que postérieure à la décision litigieuse, l’expertise judiciaire se rapporte à la capacité de travail de la recourante durant la période déterminante ; elle doit donc être prise en considération. Ses conclusions sont logiques, étayées et répondent aux points contestés, ce qui les rend convaincantes. Plus particulièrement, en ce qui concerne la capacité de travail de la recourante, le Dr C.________ a conclu à une incapacité totale dans l’activité habituelle, celle-ci nécessitant un poste de travail permettant des changements réguliers de position, condition qui n’était pas garantie. En revanche, dans une activité adaptée, il a estimé qu’il n’était pas possible d’évaluer la capacité de travail par paliers de 15 % du fait que l’assurée devait pouvoir se reposer lors des changements de position, en raison de l’absence de signe de gravité à l’examen clinique et de la nette amplification des symptômes avec une discordance marquée entre les allégations douloureuses de l’assurée et les constatations objectivables. S’écartant ainsi des conclusions de l’expertise de 2021, reprises par les experts du X.________, il a retenu une capacité de travail entière dans une activité adaptée et une date d’exigibilité au 25 septembre 2022, correspondant à la date de sortie de l’hospitalisation en rhumatologie. Selon lui, le cas n’était pas encore stabilisé lors de l’expertise de 2021 et nécessitait d’attendre le résultat des infiltrations articulaires postérieures (cf. rapport du 31 mars 2022 du Prof. V.________ et rapport du 12 avril 2022 du Dr O.________).</w:t>
      </w:r>
    </w:p>
    <w:p>
      <w:r>
        <w:t>- 21 - dd) Il y a lieu de suivre l’appréciation du Dr C.________, expert judiciaire, plutôt que celle du X.________ en matière de rhumatologie, pour les motifs développés de manière convaincante dans le complément d’expertise du 19 décembre 2024. D’abord, il a consacré près de deux fois plus de temps à l’examen de la recourante (2h05 contre 1h05 pour le Dr [...], expert rhumatologue du X.________). Ensuite, il a procédé à une étude personnelle et complète du dossier radiologique, en analysant les CDs fournis par l’assurée, alors que le Dr [...] s’est limité aux comptes rendus radiologiques. En outre, l’examen du rachis effectué par le Dr T.________ apparaît plus sommaire (cf. rapport d’expertise du 6 février 2024 du X.________, p. 40) et il n’a pas décrit les contraintes physiques liées au poste de travail, ni distingué les diagnostics incapacitants des autres (cf. rapport d’expertise précité, p. 42). Enfin, l’argumentation concernant la date de l’exigibilité d’une activité adaptée est bien plus développée dans le rapport du Dr [...] que dans celui du [...] (cf. rapport d’expertise précité, p. 43), lequel s’est essentiellement appuyé sur l’expertise de 2021, qui suggérait elle-même l’utilité d’un avis neurochirurgical et d’infiltrations facettaires (cf. rapport d’expertise du 13 octobre 2021 du Dr N.________, p. 22), laissant entendre que la situation n’était pas encore stabilisée. Partant, c’est à tort que l’intimé a considéré que l’expertise judiciaire ne permettait pas de remettre en cause, de façon objective, la stabilisation de l’état de santé fixée au 1er décembre 2021, ni l’évaluation de la capacité de travail résiduelle à 85 % retenue par l’expertise du X.________. ee) Il s’ensuit que l’expertise judiciaire du Dr C.________, bénéficiant en outre de la présomption d’objectivité attachée aux expertises judiciaires, doit se voir reconnaître pleine valeur probante et l’emporter sur l’expertise du X.________, laquelle apparaît moins détaillée et incomplète sur plusieurs points. Il convient dès lors de retenir que la recourante a été en incapacité totale pour des raisons rhumatologiques du 29 juillet 2021 au 25 septembre 2022, puis a disposé d’une capacité de travail entière dans une activité adaptée dès cette date, dans le respect des limitations précitées.</w:t>
      </w:r>
    </w:p>
    <w:p>
      <w:r>
        <w:t>- 22 - d) aa) S’agissant du volet psychiatrique, l’expert du X.________ a diagnostiqué un trouble dépressif récurrent, épisode actuel léger, sans syndrome somatique (F33.00). Il retient ce qui suit : « Nous trouvons un épisode dépressif d’intensité légère se traduisant par une baisse d’intérêt partielle, puisqu’elle maintient quelques activités associatives. Elle présente une perte d’élan vital, une humeur triste, avec des idées suicidaires passagères, non scénarisées. Il y a un léger ralentissement psychomoteur. Il y a des troubles du sommeil, ainsi que des troubles de l’appétit. Nous trouvons une labilité émotionnelle, mais il n’y a pas d’antécédents de phase maniaque ou hypomaniaque et nous éliminons un trouble affectif bipolaire (…) ». Il explique les raisons pour lesquelles il s’est distancié de l’appréciation plus sévère de la psychiatre et de la psychologue traitantes de la façon suivante : « Dans le rapport du 20 avril 2022, de la doctoresse Q.________, il est noté un suivi depuis le 22 août 2014. Nous retenons, dans notre expertise, les éléments qui ont été rapportés d’un point de vue biographique. Il était retenu un trouble dépressif récurrent avec un épisode actuel moyen mais nous pensons que l’épisode est actuellement léger. En effet, elle maintient des activités sociales même si ses activités sont légèrement diminuées. Il n’y a pas de perte totale d’intérêt. Elle n’est pas tout le temps triste. Il était retenu un trouble de personnalité non spécifiée, mais nous retenons plutôt quelques traits de personnalité anankastique et évitante, sans pour autant retenir une accentuation de personnalité, ni de véritable trouble de personnalité car elle a pu maintenir des relations sociales. Concernant le rapport du 9 janvier 2024, de la psychologue Madame U.________ [rapport non daté, produit le 12 avril 2024 par la recourante], nous avons expliqué les raisons qui nous font retenir un épisode dépressif plutôt léger que sévère. Nous sommes en accord sur une certaine rigidité de fonctionnement qui fait plutôt évoquer un trait de personnalité anankastique. » Toutefois, cette analyse apparaît lacunaire. D’une part, l’argument relatif au maintien d’activités sociales ne résiste pas à l’examen des pièces au dossier : la psychologue précise que les réunions d’une des associations concernées se déroulent en visioconférence une fois par trimestre et que l’autre association, créée par l’intéressée, est inactive depuis plusieurs années, tandis que les relations sociales de celle-ci seraient</w:t>
      </w:r>
    </w:p>
    <w:p>
      <w:r>
        <w:t>- 23 - « extrêmement rares et peu satisfaisantes » (cf. rapport non daté de Mme U.________, produit le 12 avril 2024 par la recourante). En se bornant à évoquer un maintien d’activités sociales, l’expert du X.________ ne discute pas en quoi les critères du CIM-10 pour retenir un épisode moyen ou sévère ne seraient pas remplis. D’autre part, l’évaluation du degré de gravité du trouble dépressif est fragilisée par l’absence d’échelles standardisées : le Dr R.________, dans son résumé d’investigation du 20 janvier 2025, ainsi que la psychologue avaient tous deux utilisé le test MADRS, avec des scores respectifs de 35 et 37, traduisant un épisode dépressif sévère. L’expert du X.________ n’a pas procédé à ce test et s’est limité à une motivation sommaire, ce qui affaiblit la solidité de ses conclusions. bb) Par ailleurs, l’expert du X.________ a écarté le diagnostic de syndrome douloureux somatoforme persistant « car il n’existe pas de douleurs chroniques, accompagnées d’un sentiment de détresse et non expliquées entièrement par un processus physiologique. Il n’y a pas de dramatisation des douleurs, ni de sollicitation accrue de la part de l’entourage ». Or, le Prof. G.________ avait posé le diagnostic de syndrome douloureux chronique le 8 août 2022, soulignant que la dimension psychiatrique primait, les discopathies objectivées ne pouvant expliquer l’intensité des douleurs (cf. rapport du 29 novembre 2022). Le Dr C.________, expert judiciaire, a confirmé ce constat : « Le comportement algique marqué de l'assuré, la vitesse de marche très ralentie, les transferts très ralentis, l'attitude antalgique en flexion du tronc, l'impact très important sur la vie quotidienne décrit sont disproportionnés avec les troubles dégénératifs articulaires postérieurs objectivés qui sont de gravité modérée. » cc) Dans ces conditions, l’évaluation psychiatrique du X.________ repose sur des fondements insuffisants, contredits par plusieurs avis cliniques circonstanciés et convergents. En conséquence, il subsiste des doutes sérieux quant à la pertinence des conclusions retenues par l’expert psychiatre du X.________, qui ne sauraient, dès lors, se voir reconnaître pleine valeur probante.</w:t>
      </w:r>
    </w:p>
    <w:p>
      <w:r>
        <w:t>- 24 -</w:t>
      </w:r>
    </w:p>
    <w:p>
      <w:r>
        <w:rPr>
          <w:b/>
        </w:rPr>
        <w:t>E. 9</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ATSG-Kommentar, 4ème éd., 2020, n° 17 et 29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l’occurrence, il s’impose d’annuler la décision entreprise et de renvoyer la cause à l’intimé, pour instruction complémentaire. Dans ce contexte, il lui incombera de mettre en œuvre une nouvelle expertise psychiatrique de la recourante destinée à actualiser et clarifier le tableau</w:t>
      </w:r>
    </w:p>
    <w:p>
      <w:r>
        <w:t>- 25 - clinique présenté par celle-ci à l’aune des conclusions du rapport d’expertise judiciaire en rhumatologie du Dr C.________, puis de statuer sur le droit à une rente d’invalidité de la recourante en se fondant sur le rapport du Dr C.________, sous réserve de nouvelles atteintes rhumatologiques qui justifieraient un complément d’instruction, et la nouvelle expertise psychiatrique.</w:t>
      </w:r>
    </w:p>
    <w:p>
      <w:r>
        <w:rPr>
          <w:b/>
        </w:rPr>
        <w:t>E. 10</w:t>
      </w:r>
    </w:p>
    <w:p>
      <w:r>
        <w:t>a) En définitive, le recours doit être admis et la décision litigieuse annulée, la cause étant renvoyée à l’intimé pour instruction complémentaire et nouvelle décision dans le sens des considérants. b) La procédure de recours en matière de contestations portant sur des prestations de l’assurance-invalidité est soumise à des frais de justice (art. 69 al. 1bis LAI). Il convient de les fixer à 600 fr. et de les porter à la charge de la partie intimée, vu l’issue du litige.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