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ZD24.039407 vom 14. März 2025</w:t>
      </w:r>
    </w:p>
    <w:p>
      <w:r>
        <w:t>VD Tribunal cantonal, 2025-03-14, FR</w:t>
      </w:r>
    </w:p>
    <w:p>
      <w:r>
        <w:rPr>
          <w:b/>
        </w:rPr>
        <w:t xml:space="preserve">Quelle: </w:t>
      </w:r>
      <w:r>
        <w:t>https://mcp.opencaselaw.ch/entscheid/vd_gerichte_ZD24.039407</w:t>
      </w:r>
    </w:p>
    <w:p>
      <w:r>
        <w:t>FR: VD_GERICHTE ZD24.039407 du 14 mars 2025</w:t>
      </w:r>
    </w:p>
    <w:p>
      <w:r>
        <w:t>IT: VD_GERICHTE ZD24.039407 del 14 marzo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- 8 -</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a) En l’espèce, il est établi que le recourant souffre d’une algie vasculaire de la face (ou de céphalées en grappe).</w:t>
      </w:r>
    </w:p>
    <w:p>
      <w:r>
        <w:t>- 9 - L’intimé a toutefois dénié au recourant le droit à des prestations de l’assurance-invalidité. Se fondant sur le rapport d’expertise du 10 avril 2024, duquel il ressort en particulier que le recourant disposait d’une capacité de travail entière à compter du 1er septembre 2023, il a constaté que l’intéressé n’avait pas présenté d’incapacité de travail de 40 % au moins durant une année sans interruption notable. De son côté, le recourant conteste être en mesure de travailler à temps plein à compter du 1er septembre 2023, faisant en substance valoir qu’il n'est pas guéri et que sa maladie est au contraire devenue chronique. b) Cela étant, il n’y a aucune raison de s’écarter du rapport d’expertise bi-disciplinaire du 10 avril 2024 réalisé auprès de N.________ Sàrl. aa) D’un point de vue formel, le tribunal constate que les experts ont rendu leur rapport sur la base d’une anamnèse détaillée et complète, en tenant compte de l’ensemble de la documentation médicale au dossier, des plaintes exprimées par le recourant, de ses antécédents, du déroulement de sa journée type et de son traitement. Chacun des experts a personnellement rencontré le recourant et procédé à son examen clinique. Leurs conclusions, prises sur la base d’une description claire du contexte médical, sont dûment motivées, claires et exemptes de contradiction. Ils ont par ailleurs discuté en détails les diagnostics retenus et leurs effets sur la capacité de travail du recourant chacun dans leur discipline respective, puis dans le cadre d’une évaluation consensuelle. Ils ont par ailleurs expliqué les raisons pour lesquelles ils n’ont pas retenu certains diagnostics susceptibles d’entrer en considération. bb) D’un point de vue matériel, l’expert neurologue a posé le diagnostic d’algie vasculaire de la face (céphalées en grappe ; G.44.0). L’examen neurologique réalisé était normal et aucune limitation fonctionnelle n’était retenue à ce titre. En définitive, il a estimé que seule une incapacité de travail ponctuelle pouvait être retenue d’octobre 2022 à août 2023 en raison de céphalées intenses et fréquentes, mais qu’à compter du 1er septembre 2023, la capacité de travail du recourant dans</w:t>
      </w:r>
    </w:p>
    <w:p>
      <w:r>
        <w:t>- 10 - son activité habituelle était de 100 % sans baisse de rendement. Sur le plan psychiatrique, l’expert-psychiatre a retenu le diagnostic de troubles mentaux et troubles du comportement liés à l’utilisation de cannabis (F12). Pour le reste, il a souligné l’absence de psychopathologie spécifique. Le recourant n’a jamais été hospitalisé en milieu psychiatrique, n’était pas suivi par un psychiatre et ne prenait pas de traitement psychopharmacologique. La consommation de cannabis ne revêtait pas de critères de gravité et les chances de guérison étaient excellentes en l’absence de syndrome de dépendance. Le recourant disposait par ailleurs de nombreuses ressources, en particulier la capacité de s’adapter aux règles et aux routines, de planifier et de structurer les tâches et de faire usage de compétences spécifiques. Le recourant n’était pas psychotique. Sa capacité de jugement, de prise de décision, d’endurance, et celles de s’affirmer et d’évoluer au sein d’un groupe étaient conservées. Il pratiquait des activités spontanées en dehors de ses obligations professionnelles (pratique de plusieurs sports et des jeux-vidéos en ligne) et disposait d’un cercle de relations étendu. Il était à la fois capable de soutenir son activité professionnelle, parfois des jours entiers, et d’effectuer l’ensemble de ses tâches ménagères quotidiennes. En fin de compte, l’expert psychiatre a évalué la capacité de travail du recourant à 100 % dans son activité habituelle, sans baisse de rendement, précisant que l’intéressé était en mesure de soutenir le maximum horaire exigible moyen, ce qu’il faisait déjà certains jours de la semaine. On ajoutera également qu’il apparaît, au vu des éléments au dossier, que l’état de santé du recourant s’est progressivement amélioré, ce même antérieurement au 1er septembre 2023. Ainsi, dans le procès- verbal de l’entretien téléphonique du 13 mars 2023 (cf. IP-rapport initial du 13 mars 2023), le recourant a déclaré à l’intimé que les mois de mars à octobre 2022 avaient été compliqués mais que durant les quatre à cinq derniers mois ça allait plutôt bien. D’ailleurs, le Dr H.________ avait attesté d’une capacité totale de travail à compter du 1er avril 2023, avant que celle-ci ne soit à nouveau abaissée à 40 %, nonobstant l’absence de crise algique décrite durant l’année 2023. Aussi, dans le cadre de l’entretien avec l’expert neurologue, il a rapporté une amélioration progressive avec</w:t>
      </w:r>
    </w:p>
    <w:p>
      <w:r>
        <w:t>- 11 - diminution de la fréquence puis de l’intensité des céphalées, indiquant être dans une bonne période depuis plusieurs mois et que l’année 2023 avait été meilleure. Il ne prenait plus de médicament de manière régulière, ni de traitement préventif des migraines ; seulement de l’Imigran en cas de crise. En outre, le recourant avait également évoqué la possibilité de réaugmenter son taux d’activité durant l’année 2023. Ainsi, s’estimait-il capable d’augmenter son taux d’activité jusqu’à 80 %, mais y avait renoncé par crainte d’être licencié en raison de son incapacité à prévoir la fréquence et l’intensité des crises. Enfin, dans son rapport du 13 juin 2023, la Dre U.________ a attesté d’une baisse des épisodes, avec un soulagement net depuis l’introduction de mélatonine en janvier 2023. cc) Le dossier ne contient aucun document médical susceptible de remettre en cause les conclusions de l’expertise, étant précisé à cet égard que les brefs rapports médicaux établis par les Dr H.________ et U.________ ne sont pas suffisamment étayés pour établir l’incapacité de travail à long terme du recourant. Compte tenu des explications données, il n’y a également pas lieu de tenir compte des différents certificats d’incapacité de travail établis par le médecin traitant du recourant. Il convient d’ailleurs de rappeler que si une péjoration de l’état de santé du recourant, en raison d’une recrudescence des céphalées, ne peut être exclue à plus ou moins long terme, il n’y a pas lieu de la prendre en considération de façon anticipée dans le cadre de l’évaluation de la capacité de travail, ce d’autant qu’elle n’est ni prévisible ni quantifiable (cf. TF 9C_600/2013 du 18 mars 2014 consid. 4.3.2). Enfin, l’allégation du recourant selon laquelle sa maladie serait passée du stade épisodique à celui de chronique n’est, à ce stade, pas rendue vraisemblable, faute de rapport médical au dossier l’attestant. c) En définitive, il convient de retenir que le recourant dispose, à tout le moins depuis le 1er septembre 2023, d’une capacité de travail complète dans son activité habituelle. Compte tenu du début attesté de l’incapacité de travail, soit le 24 octobre 2022, c’est à juste titre que l’intimé a dénié au recourant le droit aux mesures professionnelles et à la</w:t>
      </w:r>
    </w:p>
    <w:p>
      <w:r>
        <w:t>- 12 - rente d’invalidité, faute pour ce dernier d’avoir présenté une incapacité de travail de 40 % au moins durant un an sans interruption notable. d) Compte tenu de l’allégation du recourant selon laquelle son état de santé serait passé du stade épisodique à celui de chronique (cf. courriel du 26 novembre 2024), le dossier est transmis à l’office intimé pour qu’il reprenne l’instruction à titre de nouvelle demande.</w:t>
      </w:r>
    </w:p>
    <w:p>
      <w:r>
        <w:rPr>
          <w:b/>
        </w:rPr>
        <w:t>E. 7</w:t>
      </w:r>
    </w:p>
    <w:p>
      <w:r>
        <w:t>a) Sur le vu de ce qui précède, le recours, mal fondé, doit être rejeté.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