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ZD24.039398 vom 23. Juli 2025</w:t>
      </w:r>
    </w:p>
    <w:p>
      <w:r>
        <w:t>VD Tribunal cantonal, 2025-07-23, FR</w:t>
      </w:r>
    </w:p>
    <w:p>
      <w:r>
        <w:rPr>
          <w:b/>
        </w:rPr>
        <w:t xml:space="preserve">Quelle: </w:t>
      </w:r>
      <w:r>
        <w:t>https://mcp.opencaselaw.ch/entscheid/vd_gerichte_ZD24.039398</w:t>
      </w:r>
    </w:p>
    <w:p>
      <w:r>
        <w:t>FR: VD_GERICHTE ZD24.039398 du 23 juillet 2025</w:t>
      </w:r>
    </w:p>
    <w:p>
      <w:r>
        <w:t>IT: VD_GERICHTE ZD24.039398 del 23 luglio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w:t>
      </w:r>
    </w:p>
    <w:p>
      <w:r>
        <w:rPr>
          <w:b/>
        </w:rPr>
        <w:t>E. 4.3</w:t>
      </w:r>
    </w:p>
    <w:p>
      <w:r>
        <w:t>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w:t>
      </w:r>
    </w:p>
    <w:p>
      <w:r>
        <w:t>- 18 -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w:t>
      </w:r>
    </w:p>
    <w:p>
      <w:r>
        <w:t>- 15 -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w:t>
      </w:r>
    </w:p>
    <w:p>
      <w:r>
        <w:rPr>
          <w:b/>
        </w:rPr>
        <w:t>E. 5.1</w:t>
      </w:r>
    </w:p>
    <w:p>
      <w:r>
        <w:t>; 125 V 351 consid. 3a ; TF 8C_510/2020 du 15 avril 2021 consid. 2.4). c) En principe, le juge ne s’écarte pas sans motifs impératifs des conclusions d’une expertise médicale, la tâche de l’expert étant précisément de mettre ses connaissances spéciales à la disposition de la justice afin de l’éclairer sur les aspects médicaux d’un état de fait donné (ATF 135 V 465 consid. 4.4 et les références).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w:t>
      </w:r>
    </w:p>
    <w:p>
      <w:r>
        <w:t>- 16 - expertise médicale (ATF 125 V 351 consid. 3b/aa et les références ; TF 8C_509/2024 du 28 janvier 2025 consid. 3.2 ; TF 8C_231/2024 du 3 décembre 2024 consid. 2.2). d)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e) Il appartient aux experts médicaux d'évaluer l'état de santé de la personne assurée et les répercussions de celui-ci sur la capacité de travail (ATF 140 V 193 consid. 3.2). Les données médicales l'emportent en principe sur les constatations qui peuvent être faites notamment à l'occasion d'un stage d'observation professionnelle, lesquelles sont susceptibles d'être influencées par des éléments subjectifs liés au comportement de la personne assurée (TF 9C_441/2019 du 28 octobre 2019 consid. 3.1 et les références citées). Ces principes ne signifient cependant pas que le médecin a la compétence de statuer en dernier ressort sur les conséquences de l'atteinte à la santé sur la capacité de travail. Son rôle consiste à prendre position sur l'incapacité de travail, à savoir à procéder à une évaluation qu'il motive de son point de vue le plus substantiellement possible. Les données médicales constituent un élément important pour l'appréciation juridique de la question des travaux pouvant encore être exigés de l'assuré. Elles peuvent si nécessaire être complétées pour évaluer la capacité fonctionnelle pouvant être mise économiquement à profit par l'avis des spécialistes de l'intégration et de l'orientation professionnelles (ATF 140 V 193 consid. 3.2 et les arrêts cités).</w:t>
      </w:r>
    </w:p>
    <w:p>
      <w:r>
        <w:t>- 17 -</w:t>
      </w:r>
    </w:p>
    <w:p>
      <w:r>
        <w:rPr>
          <w:b/>
        </w:rPr>
        <w:t>E. 6</w:t>
      </w:r>
    </w:p>
    <w:p>
      <w:r>
        <w:t>a) Les affections psychiques, les affections psychosomatiques et les syndromes de dépendance à des substances psychotropes doivent en principe faire l’objet d’une procédure probatoire structurée (ATF 145 V 215 ; 143 V 418 consid. 6 et 7 ; 141 V 281 et les références citées). b) Il convient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w:t>
      </w:r>
    </w:p>
    <w:p>
      <w:r>
        <w:rPr>
          <w:b/>
        </w:rPr>
        <w:t>E. 7</w:t>
      </w:r>
    </w:p>
    <w:p>
      <w:r>
        <w:t>a) En l’espèce, on retient que le recourant a requis des prestations de l’assurance-invalidité en raison de problèmes psychiques, pour lesquels il bénéficie d’un suivi spécialisé depuis 2018. Il a fait l’objet d’une expertise psychiatrique, réalisée par la Dre G.________, laquelle a conclu à l’exigibilité de l’exercice d’une activité lucrative adaptée au taux de 80 %, à savoir sans hiérarchie complexe ou stressante, sans relations sociales soutenues, ni imprévus. Elle a retenu le diagnostic de syndrome d’Asperger, avec des centres d’intérêt stéréotypés modérés, responsable des limitations fonctionnelles précitées, et exclu un trouble dépressif, ainsi qu’un trouble de la personnalité. b) Sur le plan formel, le rapport d’expertise correspondant, rédigé le 8 janvier 2024, remplit toutes les exigences requises par la jurisprudence pour se voir accorder pleine valeur probante. Il résume les principales pièces du dossier assécurologique mis à disposition, contient une anamnèse complète, fait état des déclarations subjectives délivrées</w:t>
      </w:r>
    </w:p>
    <w:p>
      <w:r>
        <w:t>- 19 - par le recourant, rend compte de manière circonstanciée de l’examen pratiqué, tout comme il se fonde sur les observations cliniques effectuées au cours de l’expertise. En outre, l’experte a procédé à une discussion approfondie du diagnostic posé, de même qu’elle a exposé les motifs la conduisant à écarter des diagnostics différentiels, ce au terme de la passation de divers tests. Par ailleurs, elle s’est exprimée à propos des indications thérapeutiques, a évalué la cohérence et l’authenticité, tandis qu’elle a examiné la personnalité, les ressources et les difficultés du recourant. Elle s’est également renseignée sur ses habitudes, sa vie quotidienne, ses loisirs et son emploi du temps. L’appréciation de la situation médicale est claire, coïncidant avec des conclusions minutieusement motivées et exemptes de contradictions. c) Concernant le degré de gravité fonctionnel de l’atteinte à la santé, la Dre G.________ a expliqué que le recourant présentait un syndrome d’Asperger « modéré mais significatif cliniquement », objectivant des limitations fonctionnelles dans les relations sociales stressantes, avec une altération des interactions sociales réciproques, un répertoire d’activités restreint, stéréotypé et répétitif, lesquelles impactaient la capacité de travail du recourant dans des activités non adaptées. Elle relevait que les répercussions de l’atteinte à la santé étaient présentes depuis l’âge adulte, alors que le recourant avait été en mesure de se former et de travailler à 100 % par le passé. L’experte a observé que l’évolution était globalement stationnaire, avec des comportements durables et stables, nettement disharmonieux, imputables au syndrome d’Asperger. Cela étant, le recourant ne présentait pas un isolement social complet, mais uniquement partiel. Il était doté de ressources personnelles importantes, dans le contexte d’une activité strictement adaptée à son état de santé. d) L’évaluation de la cohérence et de la plausibilité ne révélait pas d’incohérences entre les plaintes subjectives et les constats objectifs, selon l’experte. Un certain décalage était la conséquence du syndrome d’Asperger, sans que le recourant ne procède à une exagération volontaire de ses difficultés. Les limitations fonctionnelles étaient uniformes dans les</w:t>
      </w:r>
    </w:p>
    <w:p>
      <w:r>
        <w:t>- 20 - divers domaines de la vie, au vu de l’anamnèse, de la journée type exposée par le recourant et l’examen clinique réalisé par la Dre G.________.</w:t>
      </w:r>
    </w:p>
    <w:p>
      <w:r>
        <w:rPr>
          <w:b/>
        </w:rPr>
        <w:t>E. 8</w:t>
      </w:r>
    </w:p>
    <w:p>
      <w:r>
        <w:t>a) Le recourant se prévaut des rapports de ses médecins traitants, ainsi que du rapport d’évaluation neuropsychologique de la psychologue D.________ pour considérer que la Dre G.________ n’aurait pas procédé à une appréciation globale de son état de santé psychique, en particulier eu égard aux comorbidités psychiatriques exposées par le Dr H.________ (trouble de la personnalité mixte et trouble panique). b) On observe, cela étant, que l’experte a exposé à satisfaction les raisons lui permettant d’écarter un trouble de la personnalité et d’autres troubles associés, estimant que le syndrome d’Asperger était à la cause de l’ensemble des difficultés du recourant. Le Dr H.________, de son côté, s’est limité à communiquer un point de vue différent, reposant sur les constats du précédent psychiatre traitant et sur l’anamnèse professionnelle, en particulier sur la fin de la mesure mise en œuvre au sein du Centre K.________. Il n’a toutefois pas étayé son appréciation sur le plan médical et s’est référé au bilan neuropsychologique réalisé en 2021, sans faire état de nouveaux éléments inconnus ou ignorés de la Dre G.________ (cf. rapport du Dr H.________ du 15 mai 2024). c) S’agissant du bilan neuropsychologique établi le 22 janvier 2025 par la neuropsychologue D.________, on peut souligner que ce document a mis en évidence non seulement les limitations du recourant, mais également les ressources dont il dispose. On retient en effet que le recourant, malgré ses intérêts restreints, est capable de se mobiliser plusieurs heures par jour dans ses domaines de prédilection (technologie, informatique, mécanique) avec de bonnes capacités d’organisation. Il s’est également révélé être autodidacte et susceptible de mettre en place des routines stables lui assurant une pleine autonomie en toute connaissance de ses limites (cf. rapport d’évaluation neuropsychologique du 22 janvier 2025, p. 4). Quant aux restrictions mentionnées par la neuropsychologue, essentiellement liées aux interactions sociales, on peut, à l’instar de</w:t>
      </w:r>
    </w:p>
    <w:p>
      <w:r>
        <w:t>- 21 - l’intimé, respectivement du SMR, considérer que celles-ci sont superposables aux limitations fonctionnelles énumérées par la Dre G.________. Il n’y a ainsi aucune raison de s’écarter de l’appréciation de la capacité de travail déterminée par l’experte dans une activité adaptée à l’état de santé du recourant. On ajoutera que dite appréciation concorde pour l’essentiel avec le pronostic communiqué par le précédent psychiatre traitant du recourant (cf. rapport du Dr F.________ du 28 octobre 2021). d) Enfin, on ne saurait tirer de conclusion médicale à la suite de l’interruption de la mesure diligentée au sein du Centre K.________, conformément à la jurisprudence fédérale citée supra sous consid. 5e. On retient au demeurant que cette interruption a eu lieu à une période où le recourant connaissait des fluctuations d’humeur et s’apprêtait à changer de suivi thérapeutique, alors qu’il n’avait plus confiance en son psychiatre et ne se conformait pas aux traitements préconisés (cf. bilan du Service de réinsertion professionnelle de l’intimé du 24 janvier 2023). e) En définitive, il convient de constater qu’en l’absence d’évaluation médicale propre à susciter le doute quant au bien-fondé des conclusions de l’expertise de la Dre G.________, c’est à juste titre que l’intimé a conclu à l’exigibilité de l’exercice d’une activité lucrative au taux de 80 %.</w:t>
      </w:r>
    </w:p>
    <w:p>
      <w:r>
        <w:rPr>
          <w:b/>
        </w:rPr>
        <w:t>E. 9</w:t>
      </w:r>
    </w:p>
    <w:p>
      <w:r>
        <w:t>a) En vertu de l’art. 28a al. 1 LAI, l’art. 16 LPGA s’applique à l’évaluation de l’invalidité des assurés exerçant une activité lucrative. Selon cette disposition,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w:t>
      </w:r>
    </w:p>
    <w:p>
      <w:r>
        <w:t>- 22 - éléments connus dans le cas particulier, après quoi l’on compare entre elles les valeurs approximatives ainsi obtenues (ATF 128 V 29 consid. 1). b) Selon la jurisprudence, il est possible de fixer la perte de gain d’un assuré dans la sphère lucrative directement sur la base de son incapacité de travail en faisant une comparaison en pour-cent. Cette méthode constitue une variante admissible de la comparaison des revenus basée sur les données statistiques : le revenu hypothétique réalisable sans invalidité équivaut alors à 100 %, tandis que le revenu d’invalide est estimé à un pourcentage plus bas, la différence en pour-cent entre les deux valeurs exprimant le taux d’invalidité. L’application de cette méthode se justifie lorsque le salaire sans invalidité et celui avec invalidité sont fixés sur la base des mêmes données statistiques, lorsque les salaires avant et/ou après invalidité ne peuvent pas être déterminés, lorsque l’activité exercée précédemment est encore possible (en raison par exemple du contrat de travail qui n’a pas été résilié), ou encore lorsque cette activité offre de meilleures possibilités de réintégration professionnelle (TF 9C_237/2016 du 24 août 2016 consid. 2.2 et références citées). c) En l’espèce, le recourant ne soulève aucun grief à l’encontre de la comparaison des revenus opérée par l’intimé sur la base des valeurs statistiques ressortant de l’ESS. Cette comparaison des revenus n’apparaît pas critiquable, compte tenu de la variabilité de ses revenus avant la survenance de l’incapacité de travail durable. Le degré d’invalidité de 28 % déterminé par l’intimé prend par ailleurs en considération un abattement de 10 % sur le revenu d’invalide, conformément à l’art. 26bis al. 3 RAI (règlement du 17 janvier 1961 sur l’assurance-invalidité ; RS 831.201). Ce taux peut par conséquent être confirmé. c) Un tel degré d’invalidité, inférieur au seuil de 40 % (cf. art. 28 al. 1 let. b LAI), n’ouvre pas le droit à une rente d’invalidité. S’agissant des mesures professionnelles susceptibles d’entrer en ligne de compte in casu, on soulignera que l’intimé a accordé une mesure d’aide au placement au recourant par communication du 5 mars 2024. Il est loisible</w:t>
      </w:r>
    </w:p>
    <w:p>
      <w:r>
        <w:t>- 23 - à ce dernier de solliciter l’intimé en tout temps pour la mise en œuvre de cette mesure.</w:t>
      </w:r>
    </w:p>
    <w:p>
      <w:r>
        <w:rPr>
          <w:b/>
        </w:rPr>
        <w:t>E. 10</w:t>
      </w:r>
    </w:p>
    <w:p>
      <w:r>
        <w:t>a) Sur le vu de ce qui précède, le recours, mal fondé, doit être rejeté et la décision de l’intimé du 4 juillet 2024 confirmée. b) La procédure de recours en matière de contestations portant sur l’octroi ou le refus de prestations de l’AI devant le tribunal cantonal des assurances est soumise à des frais de justice (art. 69 al. 1bis LAI). En l’espèce, les frais judiciaires, arrêtés à 600 fr., sont imputés au recourant qui succombe. Ils sont toutefois provisoirement laissés à la charge de l’Etat, puisqu’il a été mis au bénéfice de l’assistance judiciaire par décision du 14 octobre 2024. c) En outre, n’obtenant pas gain de cause, le recourant ne saurait prétendre des dépens (art. 55 al. 1 LPA-VD et art 61 let. g LPGA). d) Le recourant est rendu attentif au fait qu'il demeure tenu de rembourser les frais judiciaires, dès qu'il sera en mesure de le faire en vertu de l’art. 123 al. 1 CPC (code fédéral de procédure civile du 19 décembre 2008 ; RS 272 ; applicable par renvoi de l'art. 18 al. 5 LPA-VD). Il incombera à la Direction du recouvrement de la Direction générale des affaires institutionnelles et des communes de fixer les modalités de ce remboursement.</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