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ZD24.038265 vom 11. Juni 2025</w:t>
      </w:r>
    </w:p>
    <w:p>
      <w:r>
        <w:t>VD Tribunal cantonal, 2025-06-11, FR</w:t>
      </w:r>
    </w:p>
    <w:p>
      <w:r>
        <w:rPr>
          <w:b/>
        </w:rPr>
        <w:t xml:space="preserve">Quelle: </w:t>
      </w:r>
      <w:r>
        <w:t>https://mcp.opencaselaw.ch/entscheid/vd_gerichte_ZD24.038265</w:t>
      </w:r>
    </w:p>
    <w:p>
      <w:r>
        <w:t>FR: VD_GERICHTE ZD24.038265 du 11 juin 2025</w:t>
      </w:r>
    </w:p>
    <w:p>
      <w:r>
        <w:t>IT: VD_GERICHTE ZD24.038265 del 11 giugno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auprès du tribunal compétent (art. 93 let. a LPA-VD [loi cantonale vaudoise du 28 octobre 2008 sur la procédure administrative ; BLV 173.36]) en temps utile compte tenu des féries estivales (art. 38 al. 4 let. b LPGA) et respectant les autres conditions formelles prévues par la loi (art. 61 let. b LPGA notamment), le recours est recevable.</w:t>
      </w:r>
    </w:p>
    <w:p>
      <w:r>
        <w:rPr>
          <w:b/>
        </w:rPr>
        <w:t>E. 2</w:t>
      </w:r>
    </w:p>
    <w:p>
      <w:r>
        <w:t>Le litige porte sur le point de savoir si l’OAI était fondé à refuser d’entrer en matière sur la nouvelle demande de prestations</w:t>
      </w:r>
    </w:p>
    <w:p>
      <w:r>
        <w:t>- 8 - déposée par la recourante, respectivement si la décision de non-entrée en matière qu’il a rendue peut être considérée comme une décision de refus de prestations et, dans l’affirmative, si ce refus de prestations est fondé.</w:t>
      </w:r>
    </w:p>
    <w:p>
      <w:r>
        <w:rPr>
          <w:b/>
        </w:rPr>
        <w:t>E. 2.3</w:t>
      </w:r>
    </w:p>
    <w:p>
      <w:r>
        <w:t>et les références). aa) Considérer que la décision rendue constitue en réalité un refus de prestations aurait pour conséquence que l’énoncé et la motivation de la décision devraient être modifiés au stade de la procédure judiciaire, ce qui aurait pour conséquence que la recourante n’aurait pas obtenu, dans le cadre de la procédure administrative, une décision dûment motivée de refus de prestations, ce qui est constitutif d’une violation du droit d’être entendu. En effet, aux termes de l’art. 49 al. 3 LPGA, l’assureur doit motiver ses décisions si elles ne font pas entièrement droit aux demandes des parties. Cette obligation, qui découle du droit d’être entendu, garanti par l’art. 29 al. 2 Cst., a pour but que la personne destinataire de la décision puisse la comprendre, la contester utilement s’il y a lieu et que l’instance de recours soit en mesure, si elle est saisie, d’exercer pleinement son contrôle. Pour répondre à ces exigences, l’autorité doit</w:t>
      </w:r>
    </w:p>
    <w:p>
      <w:r>
        <w:t>- 12 -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150 III 1 consid. 4.5 ; 149 V 156 consid. 6.1 ; 147 IV 249 consid. 2.4 ;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Comme le relève la recourante, une modification de la décision rendue constituerait en l’occurrence une violation de la double instance. bb) Modifier la décision rendue en une décision de refus de prestations au fond contreviendrait en outre à la procédure de préavis prévue par la loi. L’art. 57a al. 1, première phrase, LAI prévoit que l’OAI communique à l’assuré, au moyen d’un préavis, toute décision finale qu’il entend prendre au sujet d’une demande de prestations ou au sujet de la suppression ou de la réduction d’une prestation déjà allouée. Le préavis – soit la communication intégrale du projet de décision motivé, avec possibilité pour l’assuré de se déterminer – offre ainsi à l’intéressé le droit d’être entendu, conformément à l’art. 42 LPGA auquel renvoie l’art. 57a al. 1, deuxième phrase, LAI. A cette fin, les parties peuvent faire part à l’OAI</w:t>
      </w:r>
    </w:p>
    <w:p>
      <w:r>
        <w:t>- 13 - de leurs observations sur le préavis dans un délai de 30 jours (art. 57a al. 3 LAI). Le sens et le but de la procédure de préavis est de permettre une discussion aisée des éléments de fait ("eine unkomplizierte Diskussion des Sachverhalts") et d’améliorer ainsi l’acceptation de la décision par les assurés (ATF 134 V 97 consid. 2.7 et les références citées ; TF 8C_25/2020 du 22 avril 2020 consid. 3.1.1). L’omission de la procédure de préavis constitue une violation grave du droit d’être entendu et sa réparation, en procédure de recours, ne peut être admise qu’avec beaucoup de retenue (ATF 134 V 97 consid. 2.8.2 et 2.9.1 ; TF 9C_551/2022 du 4 mars 2022 consid. 4.3.2 et les références citées). Il n’est pas déterminant, dans le cas concret, que l’audition de la personne assurée puisse avoir une quelconque influence sur le contenu de la décision (TF 8C_577/2008 du</w:t>
      </w:r>
    </w:p>
    <w:p>
      <w:r>
        <w:rPr>
          <w:b/>
        </w:rPr>
        <w:t>E. 3</w:t>
      </w:r>
    </w:p>
    <w:p>
      <w:r>
        <w:t>a)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1er janvier 2022, la situation est régie par les nouvelles dispositions légales et réglementaires en vigueur dès le 1er janvier 2022. Concrètement, cela concerne toute demande d’octroi de rente d’invalidité déposée à partir du 1er juillet 2021 compris (art. 29 al. 1 LAI, inchangé par la réforme). b) En l’occurrence, la décision litigieuse fait suite à la nouvelle demande de prestations déposée par l’assurée en juillet 2023, si bien que les dispositions entrées en vigueur le 1er janvier 2022 sont applicables.</w:t>
      </w:r>
    </w:p>
    <w:p>
      <w:r>
        <w:rPr>
          <w:b/>
        </w:rPr>
        <w:t>E. 4</w:t>
      </w:r>
    </w:p>
    <w:p>
      <w:r>
        <w:t>a) Lorsqu’une rente a été refusée parce que le degré d’invalidité était insuffisant, une nouvelle demande ne peut être examinée que si la personne assurée rend plausible que son invalidité s’est modifiée de manière à influencer ses droits (art. 87 al. 2 et 3 RAI).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w:t>
      </w:r>
    </w:p>
    <w:p>
      <w:r>
        <w:t>- 9 -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 TF 9C_555/2023 du 15 avril 2024 consid. 4.2). d)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1er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w:t>
      </w:r>
    </w:p>
    <w:p>
      <w:r>
        <w:t>- 10 - qu’en cas de révision au sens de cette disposition, qui prévoit que la rente d’invalidité est, d’office ou sur demande, révisée pour l’avenir, à savoir augmentée, réduite ou supprimée, lorsque le taux d’invalidité de l’assuré subit une modification d’au moins 5 points de pourcentage (let. a), ou atteint 100 % (let. b).</w:t>
      </w:r>
    </w:p>
    <w:p>
      <w:r>
        <w:rPr>
          <w:b/>
        </w:rPr>
        <w:t>E. 5</w:t>
      </w:r>
    </w:p>
    <w:p>
      <w:r>
        <w:t>En l’occurrence, l’intimé a rendu un projet de refus d’entrer en matière le 19 septembre 2023, puis une décision de même teneur le 19 juin 2024. Or, l’OAI est manifestement entré en matière puisqu’il a procédé à des mesures d’instruction dans le cadre de la procédure d’audition. Suivant l’avis du SMR du 30 janvier 2024, l’OAI a en effet mis en œuvre une expertise bi-disciplinaire auprès du B.________. Ce faisant, il est implicitement entré en matière. Malgré cela, à la fin de la procédure d’audition, il a rendu une décision similaire à son projet du 19 septembre 2023, dans laquelle il indiquait (à tort) qu’il refusait d’entrer en matière sur la nouvelle demande de l’assurée. Dans sa réponse au recours, l’intimé admet qu’il est entré en matière et qu’une décision de refus de prestations aurait dû être rendue. Il faut ainsi constater que le dispositif de la décision rendue est erroné. C’est également le cas de sa motivation, dans laquelle l’OAI reproche – à tort – à la recourante de ne pas avoir rendu plausible une aggravation de son état de santé.</w:t>
      </w:r>
    </w:p>
    <w:p>
      <w:r>
        <w:rPr>
          <w:b/>
        </w:rPr>
        <w:t>E. 6</w:t>
      </w:r>
    </w:p>
    <w:p>
      <w:r>
        <w:t>Dans ses écritures, l’OAI estime que cette décision doit être considérée comme une décision de refus de prestation. a) Il est cependant douteux que la décision de non-entrée en matière rendue puisse simplement être considérée comme une décision de refus de prestation.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w:t>
      </w:r>
    </w:p>
    <w:p>
      <w:r>
        <w:t>- 11 - de la contestation, tel que défini par la décision litigieuse, sont en principe irrecevables (ATF 144 II 359 consid. 4.3 ; 142 I 155 consid. 4.4.2 ; 134 V 418 consid. 5.2.1). Il résulte de ce qui précède qu’il n’appartient en principe pas au Tribunal de modifier lui-même l’objet de la contestation qui lui est soumise. b) Considérer la décision de non-entrée en matière rendue comme une décision de refus de prestations impliquerait en outre une violation du droit d’être entendu de la recourante à plusieurs égards. La jurisprudence a déduit du droit d’être entendu (art. 29 al. 2 Cst. [Constitution fédérale de la Confédération suisse du 18 avril 1999 ; RS 101] ; art. 42 LPGA), en particulier, le droit de chaque personne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 142 II 218 consid.</w:t>
      </w:r>
    </w:p>
    <w:p>
      <w:r>
        <w:rPr>
          <w:b/>
        </w:rPr>
        <w:t>E. 7</w:t>
      </w:r>
    </w:p>
    <w:p>
      <w:r>
        <w:t>a) Le recours est par conséquent admis et la décision litigieuse annulée, la cause étant renvoyée à l’OAI pour procéder dans le sens des considérants.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3'500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