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ZD24.037336 vom 6. Januar 2026</w:t>
      </w:r>
    </w:p>
    <w:p>
      <w:r>
        <w:t>VD Tribunal cantonal, 2026-01-06, FR</w:t>
      </w:r>
    </w:p>
    <w:p>
      <w:r>
        <w:rPr>
          <w:b/>
        </w:rPr>
        <w:t xml:space="preserve">Quelle: </w:t>
      </w:r>
      <w:r>
        <w:t>https://mcp.opencaselaw.ch/entscheid/vd_gerichte_ZD24.037336</w:t>
      </w:r>
    </w:p>
    <w:p>
      <w:r>
        <w:t>FR: VD_GERICHTE ZD24.037336 du 6 janvier 2026</w:t>
      </w:r>
    </w:p>
    <w:p>
      <w:r>
        <w:t>IT: VD_GERICHTE ZD24.037336 del 6 gennaio 2026</w:t>
      </w:r>
    </w:p>
    <w:p>
      <w:pPr>
        <w:pStyle w:val="Heading2"/>
      </w:pPr>
      <w:r>
        <w:t>Erwägungen</w:t>
      </w:r>
    </w:p>
    <w:p>
      <w:r>
        <w:rPr>
          <w:b/>
        </w:rPr>
        <w:t>E. 4</w:t>
      </w:r>
    </w:p>
    <w:p>
      <w:r>
        <w:t>Dans un grief de nature formelle, le recourant a requis, dans un premier temps, la « destitution » de BC.________, gestionnaire en charge de son dossier auprès de l’OAI et signataire de la décision du 19 juin 2024, dès lors que celle-ci avait déjà rendu une décision de refus</w:t>
      </w:r>
    </w:p>
    <w:p>
      <w:r>
        <w:t>- 18 - d’entrer en matière le concernant le 4 juin 2019. Il a ensuite lui-même renoncé à demander cette « destitution » dans son courrier du 17 décembre 2024, de sorte que ce grief peut être écarté. Il aurait de toute façon été rejeté pour les motifs suivants. 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L’art. 36 LPGA vise toutes les personnes impliquées dans l’instruction du dossier qui peuvent avoir une influence sur la décision à intervenir. Il n’est en revanche pas déterminant qu’elles établissent concrètement la décision. Sont ainsi concernés au premier chef les gestionnaires de dossiers auprès des différents assureurs sociaux ainsi que leurs collaborateurs spécialisés (juristes, etc.), mais également les médecins et autres spécialistes, qu’ils appartiennent à l’organisation de l’assureur ou qu’ils fonctionnent dans un service externe (Anne-Sylvie Dupont, in : Dupont/Moser-Szeless [éd.], Commentaire romand, Loi sur la partie générale des assurances sociales, Bâle 2025, 2e éd., n. 7 ad art. 36 LPGA). Les motifs tenant à l’organisation interne de l’assureur, par exemple le fait qu’un collaborateur intervienne à plusieurs reprises dans le même dossier, ne sont pas une raison de douter de son impartialité, même si ses avis ont pu être défavorables à l’assuré (Anne-Sylvie Dupont, op. cit., n. 12 ad art. 36 LPGA et les références). La récusation peut s'imposer même si une prévention effective n'est pas établie ; il suffit que les circonstances donnent l'apparence de la prévention et fassent redouter une activité partiale. Cependant, seules des circonstances constatées objectivement doivent être prises en considération ; les impressions purement individuelles d'une des</w:t>
      </w:r>
    </w:p>
    <w:p>
      <w:r>
        <w:t>- 19 - personnes impliquées ne sont pas décisives (ATF 137 II 431 consid. 5.2 ; 132 V 93 consid. 7.1 ; 127 I 196 consid. 2b et les références citées). b) En l’occurrence, s’agissant d’éventuels motifs de récusation à l’égard de la gestionnaire de dossier survenus en cours d’instruction, il appartenait au recourant de les soulever en temps utile devant l’OAI. En outre, la LPGA et la LAI, de même que leurs dispositions d’application, n’imposent pas la récusation d’office de l’auteur d’une première décision en cas de dépôt d’une nouvelle demande. Il n’y avait donc aucune raison justifiant que la gestionnaire de dossier, déjà en charge de la deuxième demande du recourant, se dessaisisse de l’affaire à la suite de sa troisième demande. Pour le surplus, le recourant ne présente aucun motif objectif de récusation à l’encontre de la gestionnaire de dossier. Il se contente de relever qu’elle a déjà traité sa deuxième demande. Les pièces du dossier ne font par ailleurs pas ressortir de circonstances susceptibles de fonder une apparence de prévention de la part de la gestionnaire de dossier.</w:t>
      </w:r>
    </w:p>
    <w:p>
      <w:r>
        <w:rPr>
          <w:b/>
        </w:rPr>
        <w:t>E. 5</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A l’appui de son recours, le recourant invoque, d’une part, l’art. 53 LPGA relatif à la révision des décisions (cf. complément de recours du 17 décembre 2024, p. 16 ss) et, d’autre part, les art. 17 LPGA et 87 RAI, relatifs à la révision d’une rente d’invalidité pour l’avenir (cf. réplique du 9 avril 2025). Toutefois, contrairement à ce que semble penser le recourant, ces dispositions ne peuvent être invoquées indistinctement, dès</w:t>
      </w:r>
    </w:p>
    <w:p>
      <w:r>
        <w:t>- 20 - lors qu’elles impliquent deux procédures différentes. En effet, comme l’a souligné l’intimé, l’application de l’art. 53 LPGA sous-tend une procédure de révision d’une décision entrée en force. En ce sens, elle impliquerait d’examiner s’il existe des motifs de révision, au sens de l’art. 53 LPGA, qui pourraient conduire à l’annulation de la décision prise le 24 mars 2014 et, le cas échéant, à l’examen de l’octroi d’une rente en relation avec la première demande formulée le 8 septembre 2011. Or une telle question n’est pas l’objet de la décision entreprise qui porte sur le refus d’entrer en matière sur la nouvelle demande déposée par le recourant le 27 novembre 2023. A cet égard, le recourant n’invoque aucun moyen permettant d’établir un motif de révision de la décision du 24 mars 2014, son argumentation tendant uniquement à tenter de démontrer que son état de santé s’est modifié, respectivement aggravé, depuis la décision précitée. Dès lors, pour autant que l’on doive interpréter l’invocation de l’art. 53 LPGA et les conclusions implicites que l’on pourrait en comprendre comme étant une demande de révision de la décision du 24 mars 2014, elles excèdent l’objet de la contestation, limité au refus d’entrer en matière sur la demande déposée le 27 novembre 2023, et sont donc irrecevables. Par ailleurs, le recourant a conclu à l’allocation d’une rente entière d’invalidité. Là encore, ce point excède l’objet de la contestation et la conclusion du recourant est irrecevable. c) En définitive, le litige s’inscrit dans le cadre d'une nouvelle demande de prestations. Il s’agit ainsi de déterminer si la situation médicale du recourant s’est notablement aggravée entre la dernière décision qui repose sur un examen matériel du droit à la rente, à savoir la décision du 24 mars 2014 refusant l’octroi d’une mesure de reclassement et d’une rente d’invalidité, et la décision litigieuse du 19 juin 2024 et si, cas échéant, cette péjoration éventuelle justifie l’octroi de prestations de l'assurance-invalidité.</w:t>
      </w:r>
    </w:p>
    <w:p>
      <w:r>
        <w:rPr>
          <w:b/>
        </w:rPr>
        <w:t>E. 6</w:t>
      </w:r>
    </w:p>
    <w:p>
      <w:r>
        <w:t>a) L’invalidité se définit comme l’incapacité de gain totale ou partielle qui est présumée permanente ou de longue durée et qui résulte d’une infirmité congénitale, d’une maladie ou d’un accident (art. 4 al. 1 LAI</w:t>
      </w:r>
    </w:p>
    <w:p>
      <w:r>
        <w:t>- 21 -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w:t>
      </w:r>
    </w:p>
    <w:p>
      <w:r>
        <w:t>- 22 -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d)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e)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w:t>
      </w:r>
    </w:p>
    <w:p>
      <w:r>
        <w:rPr>
          <w:b/>
        </w:rPr>
        <w:t>E. 7</w:t>
      </w:r>
    </w:p>
    <w:p>
      <w:r>
        <w:t>En l’espèce, par décision du 19 juin 2024, l’intimé a refusé d’entrer en matière sur la troisième demande de prestations déposée le 27 novembre 2023 par le recourant. Il incombe, dans ce contexte, à la</w:t>
      </w:r>
    </w:p>
    <w:p>
      <w:r>
        <w:t>- 23 - Cour de céans d’examiner si les rapports médicaux produits par le recourant à l’appui de cette demande établissent, de manière plausible, une aggravation de son état de santé par rapport à la situation qui prévalait au moment de la décision rendue par l’intimé le 24 mars 2014, laquelle constitue la dernière décision entrée en force fondée sur un examen du droit aux prestations. a) La première demande de prestations, déposée le 8 septembre 2011, fait mention, comme atteinte à la santé, d’une dépression, de problèmes d’alcoolisme et d’une déchirure des ligaments et ménisque du poignet droit. Selon les rapports recueillis par l’OAI lors de l’instruction de cette demande, le recourant souffrait, sur le plan psychique, d’un trouble de la personnalité dépendante, d’un épisode dépressif et d’une dépendance à l’alcool (cf. rapports des 9 décembre 2010, 11 mai, 4 juillet, 11 et 15 août, 10 octobre et 9 décembre 2011 des Drs D.________, G.________, F.________, L.________ et du J.________). Sur le plan physique, le recourant avait subi une arthroscopie le 23 mars 2005 à la suite d’un accident de ski survenu le 5 janvier 2003, qui avait entraîné une déchirure des ligaments du poignet droit (cf. déclaration de sinistre du 1er février 2005, protocole opératoire relatif à une arthroscopie du poignet droit et courrier du 8 septembre 2011 du Dr B.________). Faisant suite aux rapports des 14 août et 7 novembre 2012 du Dr L.________, selon lesquels le recourant rencontrait toujours des problèmes d’alcool, au rapport du 25 mars 2013 du Dr G.________, dont il ressortait que le recourant restait fragile, avec un rapport à l’alcool toujours difficile et des problèmes au poignet et à l’avis du 14 mai 2013 du SMR, un examen SMR, avec un volet orthopédique et un volet psychiatrique, a été confié aux Drs N.________ et I.________, qui ont examiné le recourant le 17 juin 2013. Ces médecins ont posé les diagnostics, avec effet sur la capacité de travail, de douleurs chroniques du poignet droit, status après déchirure partielle du ligament lunéo- pyramidal (S63.5), de cervicalgies chroniques, de troubles de la statique du rachis sous forme d’une hypercyphose lombaire basse et d’un poids insuffisant avec BMI à 16.6, ainsi que les diagnostics, sans répercussion</w:t>
      </w:r>
    </w:p>
    <w:p>
      <w:r>
        <w:t>- 24 - sur la capacité de travail, de tabagisme chronique, de douleurs nocturnes de l’épaule droite d’origine indéterminée, de status après arthroscopie du poignet droit, débridement d’une déchirure partielle du ligament lunéo- pyramidal et synovectomie par arthroscopie (23 mars 2005), de trouble de la personnalité dépendante, non décompensé (F60.7) et de troubles mentaux et troubles du comportement liés à l’utilisation d’alcool, utilisation continue (F10.25). Le rapport des médecins précisait que, du point de vue psychiatrique, la consommation d’alcool du recourant n’était pas la conséquence ou le symptôme d’une atteinte à la santé physique ou mentale engendrant une invalidité et n’était pas non plus à l’origine d’une atteinte à la santé physique ou mentale importante et durable. En outre, l’examen clinique n’avait pas montré de dépression majeure, de décompensation psychotique, d’anxiété généralisée, de trouble phobique, de trouble de la personnalité décompensé, d’état de stress post- traumatique, de trouble obsessionnel compulsif, de trouble dissociatif, de syndrome douloureux somatoforme persistant, de majoration des symptômes physiques pour des raisons psychologiques, de perturbation de l’environnement psychosocial, qui était inchangé depuis de nombreuses années, ni de limitations fonctionnelles psychiatriques incapacitantes. En l’absence d’un véritable sentiment de détresse, qui faisait partie du syndrome douloureux somatoforme persistant, ce diagnostic n’était pas retenu. Le diagnostic de trouble de la personnalité dépendante, non décompensé, était retenu, mais sans valeur incapacitante, le recourant n’ayant pas d’antécédents psychiatriques jusqu’en 2010 et ayant été capable d’entreprendre une formation professionnelle et d’assumer ses responsabilités autant dans sa vie privée que professionnelle (cf. pp. 9 et 10 du rapport d’examen clinique du 17 juin 2013). En conclusion, sur le plan purement psychiatrique, l’assuré ne souffrait d’aucune pathologie chronique et incapacitante et la capacité de travail exigible était de 100 % dans toute activité qui respectait les limitations fonctionnelles somatiques. En définitive, les Drs N.________ et I.________ ont attesté une capacité de travail nulle dans l’activité habituelle et entière dans une activité adaptée aux limitations fonctionnelles suivantes : éviter le port et le soulèvement de charges supérieures à 10 kg</w:t>
      </w:r>
    </w:p>
    <w:p>
      <w:r>
        <w:t>- 25 - et les mouvements répétitifs du poignet droit, depuis mars 2005 sur le plan somatique et depuis le 1er février 2011 sur le plan psychiatrique. Se basant sur l’examen SMR du 17 juin 2013 et sur le rapport du SMR du 16 juillet 2013 l’ayant suivi, l’OAI a retenu, dans sa décision du 24 mars 2014, que le recourant disposait d’une capacité de travail nulle dans son activité habituelle de menuisier, mais entière dans une activité adaptée aux limitations fonctionnelles telles que décrites par les Drs N.________ et I.________, à savoir pas de port ou de soulèvement de charges supérieures à 10 kg, ni de mouvements répétitifs du poignet droit. b) Dans le cadre de sa troisième demande de prestations du 27 novembre 2023, le recourant a produit un rapport du 27 décembre 2023 de BD.________, physiothérapeute, un rapport du 18 décembre 2023 du Dr G.________ et un rapport du 4 mars 2024 du Dr O.________. Se basant sur un avis du SMR du 19 juin 2024, selon lequel il n’était pas apporté d’éléments médicaux objectifs nouveaux, l’OAI a, par décision du même jour, refusé d’entrer en matière sur la demande de prestations du 27 novembre 2023. Dans le cadre de la procédure de recours, le recourant a produit un rapport du 1er novembre 2019, un rapport du 9 août 2024 et un certificat du 21 mars 2025, tous du Dr G.________. Ces trois rapports ne peuvent toutefois pas être pris en compte, dès lors qu’ils ont été produits à un stade ultérieur à celui de la procédure administrative (cf. supra consid. 6e). On notera toutefois que ces rapports ne contiennent aucun élément nouveau, dont le Dr G.________ n’aurait pas déjà fait état dans ses rapports précédents, notamment dans celui du 18 décembre 2023, qui mentionne des problèmes du rachis, des épaules et du poignet droit, ainsi que l’existence d’un processus dégénératif, ce médecin indiquant par ailleurs, dans son rapport du 9 août 2024, que les diagnostics ne s’étaient pas modifiés depuis les demandes de prestations effectuées auparavant, notamment en 2018. c) Ainsi, seuls les rapports établis par le Dr G.________ le 18 décembre 2023, BD.________ le 27 décembre 2023 et le Dr O.________ le 4 mars 2024 peuvent être pris en compte et il convient d’examiner si ces</w:t>
      </w:r>
    </w:p>
    <w:p>
      <w:r>
        <w:t>- 26 - rapports permettent de rendre plausible une modification ou une aggravation de l’état de santé du recourant. aa) Dans son rapport du 18 décembre 2023, le Dr G.________ commence par confirmer qu’il suit le recourant depuis de nombreuses années dans le cadre de nombreux problèmes physiques et psychologiques ayant abouti à une incapacité de travail totale dans la profession de menuiser. Il ne fait toutefois aucune mention d’une aggravation particulière de ces problèmes, ni ne pose aucun diagnostic nouveau. A cet égard, le Dr G.________ indique que la principale problématique du recourant reste un syndrome douloureux extrêmement invalidant, touchant essentiellement le rachis et les membres supérieurs. Or cette problématique n’est pas nouvelle, le Dr G.________ en faisant déjà état dans son rapport du 9 décembre 2011, ainsi que le Dr N.________ qui, lors de son examen du 17 juin 2013, a posé les diagnostics, avec effet sur la capacité de travail, de douleurs chroniques du poignet droit, status après déchirure partielle du ligament lunéo-pyramidal (S63.5), de cervicalgies chroniques et de troubles de la statique du rachis sous forme d’une hypercyphose lombaire basse, ainsi que celui, sans effet sur la capacité de travail, de douleurs nocturnes de l’épaule droite d’origine indéterminée. Le SMR a, dans son avis du 16 juillet 2013, tenu compte de ces diagnostics et a, en plus, retenu comme pathologies associées du ressort de l’assurance-invalidité les douleurs nocturnes de l’épaule droite d’origine indéterminée et le status après arthroscopie du poignet droit. On notera ici que la problématique somatique a, en outre, été prise en compte dans l’énumération des limitations fonctionnelles, à savoir l’absence de port et de soulèvement de charges supérieures à 10 kg et les mouvements répétitifs du poignet droit, visant à soulager les problèmes de rachis, du poignet droit et des épaules. En outre, le recourant lui-même se plaignait déjà, dans son courrier du 12 novembre 2013, que son poignet droit et son épaule ne fonctionnaient plus, qu’il avait un début d’arthrose à la nuque et que son nerf sciatique gauche lui faisait mal depuis plus de trois mois. On relèvera encore que les processus dégénératifs mentionnés par le Dr G.________ en 2023 étaient déjà évoqués par ce médecin dans son rapport du 13 novembre 2018, sans que</w:t>
      </w:r>
    </w:p>
    <w:p>
      <w:r>
        <w:t>- 27 - cela n'ait suffi à justifier une entrée en matière sur la deuxième demande de prestations du recourant, déposée le 26 septembre 2018, ce médecin évoquant déjà à cette époque une aggravation générale de l’état de santé du recourant. Il n’avait d’ailleurs procédé à aucune réévaluation spécialisée, si ce n’était pour l’épaule droite, sans qu’aucune sanction chirurgicale n’ait été retenue. Sur le plan psychique, le Dr G.________ a mentionné une thymie fragilisée, qui justifiait un soutien médicamenteux ponctuel, avec des troubles du sommeil associés, ainsi qu’une consommation excessive d’alcool, qui fluctuait selon l’humeur du recourant et empêchait la reprise de toute activité professionnelle. Or la composante psychiatrique est connue de longue date, celle-ci ayant notamment motivé le dépôt de la première demande de prestations du recourant du 8 septembre 2011, dans laquelle il était mentionné une incapacité de travail en raison d’une dépression et d’un problème d’alcool. Elle a, en outre, été confirmée par les différents médecins traitants (cf. rapports des 9 décembre 2010,</w:t>
      </w:r>
    </w:p>
    <w:p>
      <w:r>
        <w:rPr>
          <w:b/>
        </w:rPr>
        <w:t>E. 11</w:t>
      </w:r>
    </w:p>
    <w:p>
      <w:r>
        <w:t>mai, 4 juillet, 11 et 15 août, 10 octobre et 9 décembre 2011 des Drs D.________, G.________, F.________, L.________ et du J.________), ainsi que par la Dre I.________, qui a retenu les diagnostics non incapacitants de trouble de la personnalité dépendante, non décompensé et de troubles mentaux et troubles du comportement liés à l’utilisation d’alcool, utilisation continue. En définitive, le Dr G.________ ne fait que proposer une appréciation différente de l’impact des atteintes à la santé du recourant, sans véritable motivation et ne fournit aucun élément objectif permettant de rendre plausible une aggravation de la situation médicale du recourant. bb) Dans son rapport du 4 mars 2024, après une brève anamnèse et un rappel des diagnostics déjà retenus, le Dr O.________ expose que le recourant présente des cervico-dorso-lombalgies chroniques, survenant dans le cadre d’un tabagisme chronique, d’une dépendance à l’alcool et d’un déconditionnement physique global. Là encore, il ne fait état d’aucun diagnostic nouveau. En effet, le Dr G.________ mentionnait déjà, dans son rapport du 9 décembre 2011, une sensibilité du rachis récidivante et le Dr N.________ relevait, lors de son</w:t>
      </w:r>
    </w:p>
    <w:p>
      <w:r>
        <w:t>- 28 - examen du 17 juin 2013, des cervicalgies chroniques et un trouble de la statique du rachis sous forme d’une hypercyphose lombaire basse. Le recourant se plaignait d’ailleurs lui-même de ses poignet droit, épaule, nuque, nerf sciatique gauche et dos dans son courrier du 12 novembre 2013. Le Dr O.________ retient ensuite qu’en lien avec l’hypomyotrophie généralisée, l’insuffisance pondérale et la corpulence frêle, la capacité de travail du point de vue rhumatologique est nulle pour l’activité de menuisier, ainsi que pour toute activité physique moyennement lourde à lourde et toute activité nécessitant des mouvements répétitifs du poignet droit et l’utilisation d’engins vibrants aux mains. Ces limitations sont superposables aux limitations fonctionnelles retenues par les médecins du SMR dans leur avis du 16 juillet 2013 et à leur suite par l’intimé dans sa décision du 24 mars 2014, qui a retenu les limitations fonctionnelles suivantes : pas de port, ni de soulèvement de charges supérieures à 10 kg et pas de mouvements répétitifs du poignet droit. Dès lors, il ne ressort pas du rapport précité un quelconque élément permettant de rendre plausible une aggravation de l’état de santé du recourant sur le plan rhumatologique. Quant à l’évocation d’éventuelles consultations auprès d’un neurologue, d’un neuropsychologue et d’un psychiatre en lien avec la consommation excessive d’alcool du recourant, il ne s’agit que de suggestions, le but étant de faire un bilan de l’éventuel effet de cette consommation sur l’état de santé et les capacités du recourant. Ces simples propositions sont toutefois insuffisantes, à ce stade, pour rendre plausible une aggravation de l’état de santé du recourant, faute d’élément médical objectif nouveau évoqué par le Dr O.________. Par ailleurs, l’OAI n’avait pas à investiguer, à cette stade, la question de savoir si la dépendance à l’alcool du recourant constituerait ou non une maladie, dès lors qu’en présence d’une nouvelle demande, l’OAI n’est pas tenu de mettre en œuvre des mesures d’instruction – telles la mise en œuvre d’une procédure probatoire structurée (cf. ATF 145 V 215) – avant d’avoir admis une aggravation plausible de la situation susceptible d’influencer le droit aux prestations (cf. supra consid. 6d).</w:t>
      </w:r>
    </w:p>
    <w:p>
      <w:r>
        <w:t>- 29 - On relèvera que, si les examens évoqués ci-dessus devaient révéler une nouvelle atteinte ou une aggravation de l’état de santé du recourant, celui-ci serait libre de déposer une nouvelle demande. d) Le recourant soutient encore que les rapports des 18 décembre 2023 et 4 mars 2024 des Drs G.________ et O.________ auraient identifié des symptômes et des limitations fonctionnelles, qui n’auraient pas été correctement évalués ou pris en compte dans les avis antérieurs. Il n’expose toutefois aucunement en quoi consisteraient ces nouveaux symptômes et limitations fonctionnelles, si bien que son argument tombe à faux. e) Quant au rapport du 27 décembre 2023 du physiothérapeute du recourant – qui n’est pas médecin –, il ne fait que rappeler les diagnostics, à savoir une cyphose dorsale, des cervicalgies, des irradiations de l’épaule gauche et des lombalgies, les traitements pratiqués et les douleurs ressenties. Ces observations ne sont en rien évocatrices d’une aggravation des troubles somatiques du recourant ou des limitations fonctionnelles y relatives et n’apportent aucun élément nouveau permettant de rendre plausible une aggravation de l’état de santé du recourant. f) En définitive, les rapports médicaux produits à l’appui de la nouvelle demande du 27 novembre 2023 ne rendent pas plausible une aggravation de l’état de santé du recourant depuis la décision du 24 mars 2014. C’est donc à juste titre que l’intimé a refusé d’entrer en matière sur sa nouvelle demande de prestations. On relèvera ici que l’argument du recourant, selon lequel l’intimé ne pouvait pas simplement se référer à l’avis du SMR pour s’écarter des rapports des Drs O.________ et G.________, mais aurait au contraire dû mettre en œuvre une expertise tombe à faux, dès lors que, comme exposé ci-avant (cf. supra consid. 6d), le principe inquisitoire selon l’art. 43 al. 1 LPGA ne s’applique pas à la procédure prévue par l’art. 87 al. 2 et 3 RAI (cf. TF 8C_284/2024 du 15 octobre 2024 consid. 6.2).</w:t>
      </w:r>
    </w:p>
    <w:p>
      <w:r>
        <w:t>- 30 - 8. a) En définitive, le recours, mal fondé, doit être rejeté dans la mesure où il est recevable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Pache peut prétendre à une équitable indemnité pour son mandat d’office, qu’il convient de fixer à 1’500 fr.,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