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ZD24.036360 vom 5. September 2025</w:t>
      </w:r>
    </w:p>
    <w:p>
      <w:r>
        <w:t>VD Tribunal cantonal, 2025-09-05, FR</w:t>
      </w:r>
    </w:p>
    <w:p>
      <w:r>
        <w:rPr>
          <w:b/>
        </w:rPr>
        <w:t xml:space="preserve">Quelle: </w:t>
      </w:r>
      <w:r>
        <w:t>https://mcp.opencaselaw.ch/entscheid/vd_gerichte_ZD24.036360</w:t>
      </w:r>
    </w:p>
    <w:p>
      <w:r>
        <w:t>FR: VD_GERICHTE ZD24.036360 du 5 septembre 2025</w:t>
      </w:r>
    </w:p>
    <w:p>
      <w:r>
        <w:t>IT: VD_GERICHTE ZD24.036360 del 5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t>- 13 -</w:t>
      </w:r>
    </w:p>
    <w:p>
      <w:r>
        <w:rPr>
          <w:b/>
        </w:rPr>
        <w:t>E. 2</w:t>
      </w:r>
    </w:p>
    <w:p>
      <w:r>
        <w:t>Le litige porte sur le point de savoir si l’office intimé était fondé à supprimer le droit de la recourante à une rente d’invalidité entière avec effet au 1er septembre 2024, au motif qu’il ressort de la révision initiée le 15 juin 2016 qu’elle présente une capacité de travail entière dans une activité adaptée à ses limitations fonctionnelles depuis septembre 2018.</w:t>
      </w:r>
    </w:p>
    <w:p>
      <w:r>
        <w:rPr>
          <w:b/>
        </w:rPr>
        <w:t>E. 3</w:t>
      </w:r>
    </w:p>
    <w:p>
      <w:r>
        <w:t>a) Dans un grief de nature formelle, la recourante fait valoir une violation de son droit d’être entendue, au motif que les trois questions qu’elle a transmises à l’OAI par courrier du 8 juin 2023 n’ont pas été soumises aux experts du F.________. b) Afin d’assurer un déroulement équitable de la procédure et de garantir les prérogatives usuelles dans la procédure administrative générale, découlant du droit d'être entendu (art. 29 al. 2 Cst. et 42 LPGA ; ATF 135 V 465 consid. 4.3.2), le Tribunal fédéral a estimé nécessaire un renforcement des droits de participation de l'assuré à l'administration de l'expertise, au stade de la procédure administrative déjà (ATF 137 V 210 consid. 2.5 et 3.4.2). Ainsi, la jurisprudence prévoit notamment le droit, pour l’assuré, de se prononcer sur le choix de l'expert, de connaître les questions qui lui seront posées et d'en formuler d'autres (ATF 137 V 210 consid. 3.2.4.6 et 3.2.4.9 ; voir également TF 9C_933/2012 du 16 avril 2013 consid. 3.2). L’administration ou le juge peuvent cependant renoncer à soumettre des questions complémentaires aux experts lorsqu’il n’y a pas lieu d’attendre que celles-ci amèneront à de nouvelles conclusions (appréciation anticipée des preuves ; ATF 140 I 285 consid. 6.3.1 ; 130 II 425 consid. 2.1 ; TF 8C_112/2019 du 30 avril 2019 consid. 4.5). Lorsque l'Office AI accorde, respectivement refuse, à la personne assurée de poser des questions complémentaires au centre d'expertise médicale, il doit le faire par le biais d'une décision (ATF 141 V 330 consid. 2 à 4). Si les droits de participation de la personne assurée n’ont pas été respectés lors de la mise en œuvre de l’expertise, il y a lieu de tenir compte de ce manque dans le cadre de l’examen de la valeur probante de l’expertise. Dans un tel cas, des doutes relativement faibles sur la fiabilité</w:t>
      </w:r>
    </w:p>
    <w:p>
      <w:r>
        <w:t>- 14 - et le caractère concluant de l’expertise rendent déjà nécessaire la réalisation d’une nouvelle évaluation (TF 8C_112/2019 du 30 avril 2019 consid. 4.5, qui renvoie à l’ATF 139 V 99 consid. 2.3.2). c) En l’espèce, dans un courrier du 12 juin 2023, l’OAI a informé la recourante que ses questions nos 1 et 3 seraient transmises aux experts, mais a précisé, s’agissant de la question n° 2, qu’il n’existait pas d’obligation pour les experts de prendre contact avec les médecins traitants ou d’autres médecins consultés, de sorte que le traitement de cette question serait laissé à leur libre appréciation. Il ne ressort cependant pas du dossier que l’OAI aurait transmis ces questions aux experts du F.________. Les courriers des 8 et 12 juin 2023 figurent certes au dossier qui a été communiqué aux experts, mais l’OAI ne les a pas rendus attentifs au fait qu’ils devaient répondre à ces questions. Lorsque la recourante l’a fait remarquer à l’OAI, lors de la procédure d’audition, ce dernier n’a pas sollicité de complément d’expertise, mais a relevé, dans le courrier joint à la décision attaquée, que les questions nos 1 et 3 posées par la recourante trouvaient leurs réponses dans l’analyse faite par l’expert psychiatre du F.________. Il convient de constater qu’en ne soumettant pas les questions complémentaires de la recourante aux experts, sans écarter ces questions par appréciation anticipée des preuves dans une décision de refus, l’OAI a violé le droit d’être entendue de la recourante. Cela étant, il convient d’examiner sur le fond si l’expertise apporte néanmoins des réponses à ces questions, comme le soutient l’intimé, et de tenir compte de l’existence de ce vice dans le cadre de l’examen de la valeur probante de l’expertise (cf. infra consid. 9).</w:t>
      </w:r>
    </w:p>
    <w:p>
      <w:r>
        <w:rPr>
          <w:b/>
        </w:rPr>
        <w:t>E. 4</w:t>
      </w:r>
    </w:p>
    <w:p>
      <w:r>
        <w:t>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w:t>
      </w:r>
    </w:p>
    <w:p>
      <w:r>
        <w:t>- 15 -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8C_644/2022 du 8 février 2023 consid. 2.2.3).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b) En l’occurrence, l’intimé a initié une révision du droit aux prestations de l’assurée en juin 2016. Il ressort des pièces médicales au dossier que l’état de santé de la recourante, du point de vue rhumatologique, s’est amélioré en septembre 2018. Cette date est antérieure au 31 décembre 2021, si bien que l’ancien droit s’applique en l’espèce.</w:t>
      </w:r>
    </w:p>
    <w:p>
      <w:r>
        <w:rPr>
          <w:b/>
        </w:rPr>
        <w:t>E. 5</w:t>
      </w:r>
    </w:p>
    <w:p>
      <w:r>
        <w:t>a)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w:t>
      </w:r>
    </w:p>
    <w:p>
      <w:r>
        <w:t>- 16 -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b)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w:t>
      </w:r>
    </w:p>
    <w:p>
      <w:r>
        <w:rPr>
          <w:b/>
        </w:rPr>
        <w:t>E. 6</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- 17 -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- 18 -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w:t>
      </w:r>
    </w:p>
    <w:p>
      <w:r>
        <w:t>- 19 -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w:t>
      </w:r>
    </w:p>
    <w:p>
      <w:r>
        <w:rPr>
          <w:b/>
        </w:rPr>
        <w:t>E. 8</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9</w:t>
      </w:r>
    </w:p>
    <w:p>
      <w:r>
        <w:t>a) En l’espèce, il convient de rappeler en préambule que, dans la procédure de révision du droit à la rente, l’OAI a mis en œuvre une première expertise bidisciplinaire auprès du L.________ en 2019 qui avait conclu que la recourante disposait d’une pleine capacité de travail dans une activité adaptée aux limitations fonctionnelles retenues depuis le mois de septembre 2018. A la suite de cette expertise, la recourante a bénéficié de mesures visant sa réinsertion professionnelle. Elle a cependant mis un terme à ces mesures, se prévalant d’une détérioration de son état de santé psychique, raison pour laquelle l’OAI a mis en œuvre une seconde expertise bidisciplinaire auprès du F.________ qui a rendu son rapport le 29 août 2023. La recourante conteste la valeur probante des deux volets (psychiatrie et rhumatologie) de ce dernier rapport d’expertise sur lequel est fondée la décision attaquée.</w:t>
      </w:r>
    </w:p>
    <w:p>
      <w:r>
        <w:t>- 20 - b) Concernant le volet psychiatrique de l’expertise du F.________, il convient de relever que l’expert a eu accès à l’ensemble des pièces médicales figurant au dossier mis à sa disposition et s’est entretenu le 26 juillet 2023 durant une heure et quarante minutes avec la recourante. Cette dernière estime qu’un « seul et court examen clinique » était largement insuffisant pour pouvoir déceler un trouble de la personnalité. Elle se prévaut à cet égard d’un article médical. Or, le rôle de l’expert consiste notamment à se prononcer sur l'état de santé psychique de l'assuré dans un délai relativement bref (TF 9C_443/2008 du 28 avril 2009 consid. 4.4.2 et la référence), si bien que la durée de l’examen médical n’est pas en soi un critère permettant de remettre en question la valeur de son travail (TF 9C_233/2024 du 27 juin 2024 consid. 5.3 et la référence ; TF 9C_589/2013 du 2 mai 2014 consid. 5.2). Le grief de la recourante, qui n’est pas médecin, s’avère ainsi mal fondé. La recourante fait également valoir que l’anamnèse dressée par l’expert est incomplète, au motif que celui-ci n’a pas mentionné tous les épisodes difficiles, voire traumatiques, décrits dans le rapport des médecins traitants du 18 février 2020, sans toutefois préciser lesquels. Cependant, ce rapport médical est répertorié dans l’annexe 3 « synthèse du dossier » de l’expertise, de sorte que l’expert en a pris connaissance. La lecture du volet psychiatrique du rapport d’expertise permet de s’apercevoir qu’il y est mentionné le comportement inapproprié du père et la distance de celui-ci avec sa fille, la relation amicale entretenue par la recourante avec sa mère, les attouchements sexuels dont l’intéressée a été victime à l’adolescence ainsi que les deux relations sentimentales conflictuelles vécues avec des hommes. En conséquence, l’anamnèse brossée par l’expert n’apparaît pas lacunaire sur ces points essentiels. La recourante se plaint encore de l’absence de mise en œuvre par l’expert d’un bilan neuropsychologique. Or, l’expert psychiatre mentionne dans son rapport le dernier bilan neuropsychologique figurant au dossier mis en place le 13 février 2020 au Centre de psychiatrie et psychothérapie C.________. Dans la mesure où aucune pièce médicale au dossier n’indique que la situation médicale de la recourante aurait évolué sur ce point, ce qu’elle ne prétend d’ailleurs pas, ses critiques sur ce point sont également infondées.</w:t>
      </w:r>
    </w:p>
    <w:p>
      <w:r>
        <w:t>- 21 - En revanche, la recourante doit être suivie en tant qu’elle reproche à l’expert psychiatre du F.________ de ne pas avoir pris le temps d’attendre d’obtenir les renseignements demandés au psychiatre traitant avant de rédiger son rapport. Au chiffre 5 figurant en page 11 du rapport d’expertise du F.________, il est en effet indiqué qu’« au moment de la rédaction du présent rapport nous n’avions pas encore reçu les renseignements demand[é]s au psychiatre de l’expertisée ». Bien qu’on ignore la nature du complément d’informations sollicité, il est pour le moins étrange que l’expert psychiatre, après avoir estimé dans un premier temps qu’un tel complément était nécessaire, y a ensuite renoncé, sans fournir de justification. Ce premier élément s’avère déjà suffisant pour faire naître un doute quant à la valeur probante du rapport d’expertise bidisciplinaire du 29 août 2023, ce d’autant plus qu’aux termes de sa question complémentaire n° 2 du 8 juin 2023 qu’elle souhaitait soumettre aux experts, la recourante avait demandé une telle prise de contact. L’expert psychiatre ne se déterminant pas sur cette question, dont la pertinence a été laissée à sa libre appréciation par l’OAI (cf. courrier du 12 juin 2023), et la réponse ne figurant pas dans le rapport d’expertise au vu de ce qui précède, force est de constater que le droit d’être entendue de la recourante n’a pas été respecté (cf. supra consid. 3c). Le droit d’être entendue de la recourante a également été violé s’agissant de la question complémentaire n° 1 posée le 8 juin 2023 par la recourante à teneur de laquelle il était demandé à l’expert de se déterminer sur le diagnostic de trouble mixte de la personnalité de type borderline avec quelques traits d’une personnalité paranoïaque et dépendante. En haut de la page 14 du rapport du 29 août 2023, l’expert psychiatre se détermine certes de manière très succincte sur l’existence d’un trouble mixte de la personnalité de type borderline avec quelques traits d’une personnalité paranoïaque, mais il ne dit rien des éventuels traits d’une personnalité dépendante signalés chez la recourante par les Drs A.________ et X.________.</w:t>
      </w:r>
    </w:p>
    <w:p>
      <w:r>
        <w:t>- 22 - En outre, l’exclusion par l’expert psychiatre de diagnostics retenus par les médecins traitants, qui prend place sur une demi-page du rapport, repose sur une motivation pauvre, en particulier, s’agissant du trouble dépressif récurrent. L’expert psychiatre paraît l’exclure, au motif que les médecins traitants n’ont pas étayé ce diagnostic, se limitant pour le reste à fournir une motivation lapidaire fondée exclusivement sur le traitement et le suivi psychiatrique de la recourante, sans fournir aucune autre motivation médicale objective. Il sied encore de relever qu’à la rubrique « appréciation des capacités, des ressources et des difficultés » en haut de la page 15, le rapport d’expertise est déficient quant à l’analyse des indicateurs posés par la jurisprudence fédérale (cf. consid. 8 supra). En effet, l’expert psychiatre ne tient à aucun moment compte des difficultés rencontrées systématiquement par la recourante dans ses formations ou emplois. Il n'explique pas quelle serait la cause, s’il y en existe une, des difficultés de l’intéressée et de l’échec des mesures mises en place auprès de l’Orif dont elle a bénéficié entre le 15 juin 2020 et le 13 août 2021. Il persiste dès lors un doute sur ce point, qu’il n’est pas possible d’éclaircir faute de disposer d’une explication médicale sur l’origine des difficultés présentées. Ainsi, le volet psychiatrique du rapport d’expertise du 29 août 2023 apparaît insuffisant pour permettre à la Cour de se prononcer en toute connaissance de cause sur le cas de la recourante. c) S’agissant du volet rhumatologique du rapport de l’expertise du F.________, il convient de relever que l’expert a eu accès à l’ensemble des pièces médicales au dossier et a procédé le 26 juillet 2023 à un examen clinique d’une heure et dix minutes de la recourante, soit une durée suffisante pour lui permettre de se prononcer sur l’état de santé. Il a par ailleurs dressé l’anamnèse de cette dernière, a présenté sa journée-type et a tenu compte de ses plaintes. A l’issue de son analyse, il a posé les diagnostics de fibromyalgie et de status post chirurgie du genou gauche en avril 2012 et 2015.</w:t>
      </w:r>
    </w:p>
    <w:p>
      <w:r>
        <w:t>- 23 - Conformément à la jurisprudence du Tribunal fédéral, l'appréciation du caractère invalidant potentiel d'une fibromyalgie est subordonnée, par analogie, aux principes développés par la jurisprudence en matière de troubles somatoformes douloureux, vu les nombreux points communs entre ces troubles (ATF 132 V 65 consid. 4 ; TF 9C_710/2023 du 28 juin 2024 consid. 6.1). Ainsi, dès lors que les facteurs psychosomatiques ont une influence décisive sur le développement d'une telle maladie, un examen doit être réalisé sur la base d’une procédure probatoire structurée au moyen des indicateurs applicables en présence de troubles psychiatriques (TF 9C_808/2019 du 18 août 2020 consid. 5.2). Or, sous la rubrique « appréciation des capacités, des ressources et des difficultés » en haut de la page 24 du rapport, l’expertise rhumatologique n’est pas motivée à satisfaction. L’expert n’a en effet pas pris en compte l’impact des douleurs, qui aux dires de la recourante durant la mesure de réinsertion professionnelle progressive suivie auprès de l’Orif de [...] et d’[...] de juin 2020 à août 2021, étaient pourtant présentes et handicapantes. L’expert s’est cantonné à relever que « l’attitude de l’expertisée dans la vie quotidienne n’est pas due à la rhumatologie », ce qui est péremptoire et semble contraire aux indications figurant au dossier. En outre, l’expert rhumatologue se montre très expéditif lorsqu’il exclut les diagnostics incapacitants retenus dans les autres pièces médicales au dossier sur cinq lignes et de manière extrêmement laconique (cf. bas de la page 23 du rapport d’expertise du 29 août 2023). Il explique par ailleurs en quatre lignes les motifs pour lesquels il retient le diagnostic de fibromyalgie. Alors que l’expert du F.________ conclut à l’absence d’évolution de la situation de la recourante sur le plan rhumatologique depuis l’expertise du L.________ en 2019, il ne fournit aucune explication permettant de saisir pour quel motif médical l’expert rhumatologue à l’époque avait exclu à tort le diagnostic de fibromyalgie, cet expert ayant retenu à cet égard : « On retrouve 2 pts/19 pts et un score de sévérité nul. Le score de Wolfe est à 2/31, ne permettant pas de retenir le diagnostic de fibromyalgie qui requiert un score de 13/31 ». Ce diagnostic de</w:t>
      </w:r>
    </w:p>
    <w:p>
      <w:r>
        <w:t>- 24 - fibromyalgie n’est au demeurant retenu par aucun autre médecin, ce qui justifiait d’autant plus que l’expert du F.________ étaye son analyse. Dans ces conditions, l’appréciation du cas livrée par l’expert rhumatologue n’est pas non plus convaincante et ne permet pas à la Cour de se prononcer en connaissance de cause. d) En conséquence, le rapport d’expertise bidisciplinaire du F.________ ne peut pas se voir accorder une pleine valeur probante, de sorte que l’OAI ne pouvait pas se fonder sur les constatations et les conclusions de celui-ci pour supprimer la rente entière d’invalidité versée depuis le 1er janvier 2014 à la recourante. e) Pour le reste, la mise en relation du rapport d’expertise bidisciplinaire du 29 août 2023 avec d’autres éléments médicaux figurant au dossier, ne permet pas à la Cour de statuer sur les atteintes à la santé dont souffre la recourante et leurs incidences sur sa capacité de travail. Ainsi, le rapport d’expertise du 11 juillet 2019 du L.________ est antérieur à l’aggravation de l’état de santé alléguée par la recourante qui a justifié la mise en œuvre par l’intimé dans le premier semestre 2023 d’une nouvelle expertise bidisciplinaire confiée au F.________. L’expertise du L.________ est partant obsolète. Quant aux rapports des médecins consultés par la recourante, outre la relation thérapeutique et le rapport de confiance qui les lient à leur patiente et les placent ainsi dans une situation délicate pour constater les faits dans un contexte assécurologique, qui doit être prise en compte, et le fait qu’ils ne remplissent par ailleurs pas l’ensemble des réquisits formels pour se voir accorder une pleine valeur probante (cf. consid. 6c supra), aucun d’entre eux n’arrête la situation médicale globale de la recourante. L’examen des autres éléments médicaux du dossier ne permet donc pas de pallier les défauts de l’expertise du F.________ tels qu’ils ont été exposés ci-avant.</w:t>
      </w:r>
    </w:p>
    <w:p>
      <w:r>
        <w:t>- 25 - f) aa)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bb) Il ressort des considérants qui précèdent que l’instruction menée par l’office intimé est lacunaire et ne permet pas à la Cour de se prononcer en connaissance de cause, au vu des incohérences qui perdurent dans cette situation complexe. Il convient par conséquent de renvoyer la cause à cette autorité, dès lors que c’est à elle qu’il incombe en premier lieu d’instruire, conformément au principe inquisitoire qui régit la procédure dans le domaine des assurances sociales (art. 43 al. 1 LPGA) et que le rapport d’expertise bidisciplinaire du F.________ sur lequel elle s’est fondée n'a pas respecté le droit d’être entendue de la recourante. Dans ce contexte, il appartiendra à l’intimé de mettre en œuvre une nouvelle expertise bidisciplinaire, comportant un volet psychiatrique et rhumatologique, toute autre spécialité étant réservée, afin de clarifier les atteintes à la santé dont souffre la recourante depuis 2016 ainsi que leurs effets sur sa capacité de travail passée et future, avec la précision que les effets d’une éventuelle fibromyalgie doivent être évalués sur la base de la procédure probatoire structurée, au moyen des indicateurs applicables en présence de troubles psychiatriques (TF 9C_433/2022 du 10 octobre 2023 consid. 5.2). g) Compte tenu de ce qui précède, il n’y a pas lieu pour la Cour de statuer sur les griefs soulevés par la recourante en ce qui concerne l’existence d’une activité professionnelle exigible au vu de ses limitations fonctionnelles et les mesures professionnelles auxquelles elle aurait droit. En effet, il appartiendra à l’office intimé d’analyser ces</w:t>
      </w:r>
    </w:p>
    <w:p>
      <w:r>
        <w:t>- 26 - éléments à nouveau dans la décision qu’il rendra à l’issue de l’instruction complémentaire de la cause.</w:t>
      </w:r>
    </w:p>
    <w:p>
      <w:r>
        <w:rPr>
          <w:b/>
        </w:rPr>
        <w:t>E. 10</w:t>
      </w:r>
    </w:p>
    <w:p>
      <w:r>
        <w:t>et 11 TFJDA [tarif du 28 avril 2015 des frais judiciaires et des dépens en matière administrative ; BLV 173.36.5.1]). On ajoutera que ce montant couvre l’indemnité qui pourrait être allouée à Me Jean-Michel Duc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