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ZD24.034609 vom 10. Februar 2026</w:t>
      </w:r>
    </w:p>
    <w:p>
      <w:r>
        <w:t>VD Tribunal cantonal, 2026-02-10, FR</w:t>
      </w:r>
    </w:p>
    <w:p>
      <w:r>
        <w:rPr>
          <w:b/>
        </w:rPr>
        <w:t xml:space="preserve">Quelle: </w:t>
      </w:r>
      <w:r>
        <w:t>https://mcp.opencaselaw.ch/entscheid/vd_gerichte_ZD24.034609</w:t>
      </w:r>
    </w:p>
    <w:p>
      <w:r>
        <w:t>FR: VD_GERICHTE ZD24.034609 du 10 février 2026</w:t>
      </w:r>
    </w:p>
    <w:p>
      <w:r>
        <w:t>IT: VD_GERICHTE ZD24.034609 del 10 febbraio 2026</w:t>
      </w:r>
    </w:p>
    <w:p>
      <w:pPr>
        <w:pStyle w:val="Heading2"/>
      </w:pPr>
      <w:r>
        <w:t>Erwägungen</w:t>
      </w:r>
    </w:p>
    <w:p>
      <w:r>
        <w:rPr>
          <w:b/>
        </w:rPr>
        <w:t>E. 3</w:t>
      </w:r>
    </w:p>
    <w:p>
      <w:r>
        <w:t>Le litige porte sur la question de savoir si le recourant peut prétendre à une rente d’invalidité au-delà du 31 décembre 2022.</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10J010</w:t>
      </w:r>
    </w:p>
    <w:p>
      <w:r>
        <w:t>- 17 - de lui après les traitements et les mesures de réadaptation, sur un marché du travail équilibré (revenu avec invalidité ; art. 16 LPGA).</w:t>
      </w:r>
    </w:p>
    <w:p>
      <w:r>
        <w:rPr>
          <w:b/>
        </w:rPr>
        <w:t>E. 5</w:t>
      </w:r>
    </w:p>
    <w:p>
      <w:r>
        <w:t>a) Selon la jurisprudence, le bien-fondé d'une décision d'octroi, à titre rétroactif, d'une rente limitée dans le temps, doit être examiné à la lumière des conditions de révision du droit à la rente.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les références citées ; TF 9C_718/2009 du 4 février 2010 consid. 1.2 et les références citées). b)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(Michel Valterio, Droit de l’assurance-vieillesse et survivants (AVS) et de l’assurance-invalidité (AI), Genève/Zurich/Bâle 2011, pp. 833s n° 3068 et les références citées ; cf. également TF 9C_134/2015 du 3 septembre 2015 consid. 4.1 et les références citées).</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10J010</w:t>
      </w:r>
    </w:p>
    <w:p>
      <w:r>
        <w:t>- 18 -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Les avis médicaux du SMR (au sens de l'art. 54a LAI, en corrélation avec l'art. 49 al. 1 RAI), établis sans examen de l’assuré ni observation clinique, ont seulement pour fonction d’opérer la synthèse des renseignements médicaux recueillis, de prendre position à leur sujet et de prodiguer des recommandations quant à la suite à donner au dossier sur le plan médical.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10J010</w:t>
      </w:r>
    </w:p>
    <w:p>
      <w:r>
        <w:t>- 19 - SMR (ATF 142 V 58 consid. 5.1 ; TF 9C_371/2018 du 16 août 2018 consid. 4.3.1 et les références citées). d)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TF 8C_445/2021 du 14 janvier 2022 consid. 4.4 ; 8C_796/2016 du 14 juin 2017 consid. 3.3).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w:t>
      </w:r>
    </w:p>
    <w:p>
      <w:r>
        <w:rPr>
          <w:b/>
        </w:rPr>
        <w:t>E. 7</w:t>
      </w:r>
    </w:p>
    <w:p>
      <w:r>
        <w:t>a) En l’espèce, par décision du 12 juin 2024, l’intimé a reconnu au recourant le droit à une rente entière d’invalidité pour la période courant du 1er juillet 2019 au 31 décembre 2022, fondé sur un degré d’invalidité de 100%. Il a également admis que celui-ci n’était plus en mesure d’exercer son activité habituelle de manutentionnaire, laquelle n’est plus adaptée. En revanche, il a considéré que, dès le 22 septembre 2022, la capacité de travail du recourant était entière dans une activité adaptée à ses limitations fonctionnelles, à savoir le port répétitif et prolongé de charges de plus de</w:t>
      </w:r>
    </w:p>
    <w:p>
      <w:r>
        <w:rPr>
          <w:b/>
        </w:rPr>
        <w:t>E. 10</w:t>
      </w:r>
    </w:p>
    <w:p>
      <w:r>
        <w:t>kg, les mouvements nécessitant une préhension en force ou des 10J010</w:t>
      </w:r>
    </w:p>
    <w:p>
      <w:r>
        <w:t>- 20 - amplitudes importantes du poignet et du coude gauche, les mouvements fins réguliers et répétitifs de la main gauche, ainsi que les mouvements justifiant des travaux avec l’épaule gauche au-dessus de l’horizontale de manière prolongée. Le recourant reproche à l’intimé de s’être fondé uniquement sur l’avis du SMR, sans avoir diligenté une évaluation médicale autonome. Il soutient que celui-ci n’aurait pas tenu compte des rapports des Drs L.________, P.________, A.________ et F.________, lesquels permettraient de constater une aggravation de son état de santé. Il s’appuie également sur les avis des Drs J.________, neurologue, et G.________, chirurgien orthopédique, dont les rapports ont été produits dans le cadre de la procédure de recours, pour considérer qu’il ne dispose pas d’une capacité de travail entière dans une activité adaptée. b/aa) En l’occurrence, pour rendre la décision litigieuse, l’intimé s’est fondé essentiellement sur l’avis du 7 novembre 2023 du SMR, lequel s’appuie, pour ce qui est de l’atteinte d’origine traumatique au coude gauche, sur l’appréciation du 21 septembre 2022 du Dr D.________, médecin d’arrondissement de la Caisse S.________. Dans cette appréciation, le médecin précité a posé les diagnostics de fracture de type Mason 3 de la tête radiale du coude gauche, d’arrachement latéral de l’olécrâne gauche, d’arthrose avec chondropathie de grade 4 au niveau de la tête radiale et de grade 2 au niveau du capitellum du coude gauche, ainsi que de syndrome douloureux chronique du membre supérieur gauche. A titre de limitations fonctionnelles, il a retenu le port répétitif et prolongé de charges de plus de 10 kg, les mouvements nécessitant une préhension en force ou des amplitudes importantes du poignet et du coude gauche, les mouvements fins réguliers et répétitifs de la main gauche, ainsi que les mouvements justifiant des travaux avec l’épaule gauche au-dessus de l’horizontale de manière prolongée. D’après le Dr D.________, la situation en regard du coude droit pouvait être considérée comme stabilisée deux ans après l’accident. Si le recourant n’était plus en mesure d’effectuer son activité habituelle pour laquelle la capacité était désormais nulle, il disposait d’une capacité de travail entière 10J010</w:t>
      </w:r>
    </w:p>
    <w:p>
      <w:r>
        <w:t>- 21 - dans une activité adaptée, tenant compte des limitations fonctionnelle précitées. Dans son avis du 7 novembre 2023, le SMR a repris les conclusions de l’examen du Dr D.________, s’agissant de l’atteinte au coude gauche, en précisant qu’il était raisonnable de fixer la consolidation en lien avec l’atteinte à cette articulation au 21 septembre 2022, date de l’examen final par le médecin d’arrondissement de la Caisse S.________. bb) Concernant les autres atteintes, sans lien avec l’accident survenu le 3 juillet 2018, l’intimé s’est également fondé sur l’avis du 7 novembre 2023 du SMR. Celui-ci s’est en effet prononcé sur différentes pathologies, évoquées par les médecins traitants, susceptibles de modifier la capacité de travail ou les limitations fonctionnelles retenues par la Caisse S.________. En particulier, le SMR a relevé, s’agissant des cervico- brachialgies (cf. rapport de la Dre P.________ du 13 septembre 2023), que l’IRM (ndlr : IRM cervicale du 20 octobre 2020) n’avait objectivé aucune atteinte, si bien qu’il ne retenait pas ce diagnostic comme incapacitant. Pour ce qui était des lombosciatalgies (cf. rapport de la Dre P.________ du 23 septembre 2023), il a mentionné que ce diagnostic n’était pas compatible avec les examens cliniques réalisés par le Dr L.________ à plusieurs reprises qui avait constaté un test de signe de Lasègue, ainsi qu’un test de signe de Léri, négatifs, de même qu’une distance doigts-sol nulle (cf. notamment rapports des 10 mars 2021 et 19 juin 2023). L’atteinte au tunnel carpien gauche (cf. rapport du 13 septembre 2023 de la Dre P.________) a également été écartée par le SMR, dans la mesure où ce diagnostic avait été infirmé par le Dr O.________ (cf. rapport du 31 mai 2021) pour être finalement confirmé par le Dr C.________ en 2022 (cf. rapport du 3 août 2022) mais qu’aucun chirurgien n’avait voulu intervenir, ce qui rendait cette atteinte plus que douteuse alors que l’intervention à réaliser était simple. Le SMR s’est encore penché sur l’algie trigémino-vasculaire suspectée par la Dre A.________ (cf. rapport du 1er septembre 2023) et a relevé à cet égard que le rapport qui mentionnait cette atteinte ne contenait aucune description ni preuve d’une telle atteinte et que celle-ci paraissait être déclenchée dans des circonstances qui laissaient perplexe la spécialiste 10J010</w:t>
      </w:r>
    </w:p>
    <w:p>
      <w:r>
        <w:t>- 22 - elle-même. Il a ainsi écarté ce diagnostic. Enfin, concernant l’atteinte axonale compatible avec une polyneuropathie des membres inférieurs évoquée par la Dre A.________ (cf. rapport du 1er septembre 2023), le SMR a relevé que cette atteinte n’avait jamais été mentionnée dans les nombreuses plaintes et que le mince status rapporté (diminution de la sensibilité et discret élargissement du polygone de sustentation) n’évoquait pas d’atteinte incapacitante. cc) A la suite de l’avis du SMR du 7 novembre 2023, sur lequel se fonde essentiellement la décision litigieuse, l’OAI a reçu deux rapports de l’assuré. L’un, daté du 29 février 2024, de la Dre P.________, l’autre, daté du 18 mars 2024, du Dr F.________. Outre que ces rapports n’ont pas été soumis au SMR avant que l’intimé ne rende la décision querellée, mais ont été examinés – ce qui interroge – uniquement par la gestionnaire en charge du dossier de l’assuré, qui les a écartés, il convient de constater que le rapport de la Dre P.________ en particulier n’a pas fait l’objet, par la suite, d’un examen sérieux de la part du SMR. En effet, dans le rapport en question, la Dre P.________ a évoqué la persistance d’un syndrome douloureux chronique avec une exacerbation douloureuse à la mobilisation du membre supérieur gauche, mais également lors de la marche qui provoquait des décharges douloureuses dans la jambe droite. Elle a précisé que les difficultés de mobilisation liées aux douleurs irradiantes dans le membre précité correspondaient à une clinique de lombosciatalgies radiculaires droites avec des réflexes rotuliens et achilléens diminués. Elle s’est en outre référée à l’examen de la Dre A.________ (cf. rapport du 1er septembre 2023) qui avait permis d’objectiver une atteinte axonale sensitivo-motrice longueur dépendante compatible avec une polyneuropathie. La Dre P.________ a encore souligné que le patient présentait des troubles de la marche, qui était mal assurée, des difficultés à la mobilisation lorsqu’il devait passer de la position assise à la position debout ou emprunter des escaliers, que le maintien de la position debout était difficile et limité par les douleurs lombaires avec irradiation dans la jambe droite, que l’équilibre était précaire et qu’une activité assise serait plus adaptée. Si le SMR a fini par tenir compte du rapport du 29 février 2024 de la Dre P.________ dans un avis du 12 septembre 2024, soit postérieur à 10J010</w:t>
      </w:r>
    </w:p>
    <w:p>
      <w:r>
        <w:t>- 23 - la décision attaquée, rendu dans le cadre de la procédure de recours, il s’est limité à indiquer que les éléments apportés par l’assuré depuis la décision litigieuse ne concernaient que le membre supérieur gauche mais n’est précisément pas revenu sur les autres atteintes mentionnées avant la décision en question par la médecin précitée. Or, comme cela vient d’être exposé, la Dre P.________ a également fait état de lombosciatalgies radiculaires droites avec des réflexes rotuliens et achilléens diminués à droite, provoquant des troubles de la marche, de l’équilibre et de mobilité, nécessitant des investigations complémentaires qui n’avaient pas été menées jusque-là. Par ailleurs, le SMR ne s’est pas non plus prononcé sur le diagnostic de polyneuropathie, relevant uniquement que la Dre P.________ avait posé les diagnostics de syndrome douloureux chronique et de neuropathie du nerf ulnaire gauche. Il a admis cette dernière atteinte comme complication de la fracture au coude gauche et de l’arthrose à cette articulation, tout en précisant que les limitations fonctionnelles n’étaient pas modifiées, mais n'a nullement discuté le diagnostic de polyneuropathie (cf. avis des 12 septembre, 1er novembre 2024 et 9 avril 2025). Or, à ce stade, on ne peut exclure que cette atteinte, confirmée par la Dre A.________ (cf. rapport du 1er septembre 2023) et qui semble avoir des répercussions au niveau des membres inférieurs, tout comme les atteintes lombaires suspectées par la Dre P.________, puissent engendrer une diminution de la capacité de travail du recourant dans une activité adaptée ou à tout le moins des limitations fonctionnelles plus étendues que celles qui ont été retenues par l’intimé. Dans ce contexte, le rapport du 29 février 2024 suffit, en l’occurrence, à remettre en cause la fiabilité de l’appréciation du SMR, étant rappelé qu’en l’absence d’expertise menée par un médecin neutre, l’appréciation des moyens de preuves à disposition doit être stricte. On relèvera encore, à cet égard, que le rapport du 4 juillet 2024 de la Dre J.________, produit par le recourant dans le cadre du recours, n’apporte pas plus de réponse sur le plan neurologique, dans la mesure où la spécialiste précitée a été sollicitée uniquement pour se prononcer sur l’existence d’une neuropathie ulnaire au coude gauche, laquelle a, en l’occurrence, été confirmée. En définitive, on ne peut exclure que la polyneuropathie, diagnostiquée en septembre 2023, soit antérieurement à la décision litigieuse du 12 juin 2024, ainsi que les troubles lombaires qui 10J010</w:t>
      </w:r>
    </w:p>
    <w:p>
      <w:r>
        <w:t>- 24 - nécessitent des investigations supplémentaires au regard de leurs conséquences à la marche et à la mobilisation, ainsi que sur l’équilibre selon les constats de la Dre P.________ en février 2024, également antérieurs à la décision attaquée, modifient la capacité de travail ou à tout le moins les limitations fonctionnelles retenues. c) Il résulte de ce qui précède qu’il existe un doute suffisant quant à la fiabilité et à la cohérence des constatations effectuées par le SMR, en particulier dans son avis du 7 septembre 2023 (mais également dans celui du 12 septembre 2024), qui aurait dû conduire l’intimé à procéder à une instruction complémentaire avant de supprimer la rente du recourant. 8.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ATSG-Kommentar, 4ème éd., 2020, n° 17 et 29 ad art. 43 LPGA). 10J010</w:t>
      </w:r>
    </w:p>
    <w:p>
      <w:r>
        <w:t>- 25 -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d) En l’occurrence, l’instruction menée par l’intimé est lacunaire et ne permet pas de se prononcer en toute connaissance de cause, de sorte qu’il se justifie de renvoyer l’affaire à l’intimé, à qui il incombera de compléter l’instruction par la mise en œuvre d'une expertise médicale comprenant à tout le moins un volet orthopédique et un volet neurologique, à charge pour les experts de s’adjoindre des spécialistes d’autres disciplines s’ils l’estiment nécessaire, afin de déterminer si la polyneuropathie diagnostiquée ou d’autres troubles orthopédiques, couplées aux autres atteintes du recourant, ont une incidence sur la capacité de travail du recourant dans une activité adaptée et sur les limitations fonctionnelles retenues, avec une chronologie détaillée des atteintes et de la capacité de travail. A noter qu’il appartiendra aux experts d’examiner l’ensemble des pièces médicales figurant au dossier, y compris celles produites dans le cadre de la procédure de recours, lesquelles concernent des atteintes diagnostiquées avant la décision litigieuse du 12 juin 2024. 9. a) Il s’ensuit que le recours doit être admis et la décision entreprise annulée, la cause étant renvoyée à l’intimé pour instruction complémentaire dans le sens des considérants puis nouvelle décision. b) La procédure de recours en matière de contestations portant sur l’octroi ou le refus de prestations de l’assurance-invalidité est soumise 10J010</w:t>
      </w:r>
    </w:p>
    <w:p>
      <w:r>
        <w:t>- 26 - à des frais de justice (art. 69 al. 1bis LAI). Il convient de les fixer à 600 fr. et de les mettre à la charge de l’intimé, vu l’issue du litige. c) La partie recourante obtient gain de cause, si bien qu’elle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