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ZD24.030480 vom 15. Juli 2025</w:t>
      </w:r>
    </w:p>
    <w:p>
      <w:r>
        <w:t>VD Tribunal cantonal, 2025-07-15, FR</w:t>
      </w:r>
    </w:p>
    <w:p>
      <w:r>
        <w:rPr>
          <w:b/>
        </w:rPr>
        <w:t xml:space="preserve">Quelle: </w:t>
      </w:r>
      <w:r>
        <w:t>https://mcp.opencaselaw.ch/entscheid/vd_gerichte_ZD24.030480</w:t>
      </w:r>
    </w:p>
    <w:p>
      <w:r>
        <w:t>FR: VD_GERICHTE ZD24.030480 du 15 juillet 2025</w:t>
      </w:r>
    </w:p>
    <w:p>
      <w:r>
        <w:t>IT: VD_GERICHTE ZD24.030480 del 15 luglio 2025</w:t>
      </w:r>
    </w:p>
    <w:p>
      <w:pPr>
        <w:pStyle w:val="Heading2"/>
      </w:pPr>
      <w:r>
        <w:t>Erwägungen</w:t>
      </w:r>
    </w:p>
    <w:p>
      <w:r>
        <w:rPr>
          <w:b/>
        </w:rPr>
        <w:t>E. 31</w:t>
      </w:r>
    </w:p>
    <w:p>
      <w:r>
        <w:t>janvier 2023 et la date du début de ce droit n’est pas contesté par la recourante. Sont donc applicables à l'examen du droit à la rente de la recourante les dispositions de la LAI et du RAI en vigueur depuis le 1er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w:t>
      </w:r>
    </w:p>
    <w:p>
      <w:r>
        <w:t>- 13 - 69 %, la quotité de la rente correspond au taux d’invalidité. Pour un taux d’invalidité supérieur ou égal à 70 %, l’assuré a droit à une rente entière. Enfin, des quotités spécifiques de rente sont prévues lorsque le taux d’invalidité est inférieur à 50 %. L’évaluation du taux d’invalidité des assurés exerçant une activité lucrative est régie par l’art. 16 LPGA. A cette fin, le revenu que l’assuré aurait pu obtenir s’il n’était pas invalide est comparé à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w:t>
      </w:r>
    </w:p>
    <w:p>
      <w:r>
        <w:t>- 14 - procéder de la même manière qu’en cas de révision au sens de cette disposition. d) Conformément à l’art. 17 al. 1 LPGA, la rente d’invalidité est, d’office ou sur demande, révisée pour l’avenir, à savoir augmentée, réduite ou supprimée, lorsque le taux d’invalidité de l’assuré subit une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Il découle de l’art. 61 let. c LPGA que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w:t>
      </w:r>
    </w:p>
    <w:p>
      <w:r>
        <w:t>- 15 -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Fondés sur les art. 54a LAI et 49 al. 1 et 3 RAI, les avis médicaux du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fonctions différentes, ces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celle-ci (ATF 142 V 58 consid. 5.1 ; TF 9C_10/2017 du 27 mars 2017 consid. 5.1 et les références citées ; TF 9C_542/2011 du 26 janvier 2012 consid. 4.1 et les références citées). 6. a) En l'espèce, l’intimé a admis, à la suite du dépôt d'une troisième demande de prestations, d’octroyer à la recourante une rente entière d'invalidité limitée dans le temps, du 1er septembre 2022 au 31 janvier 2023. Il a considéré que l'état de santé de la recourante s'était aggravé en raison de l’accident de septembre 2021, qui avait entraîné une incapacité de travail totale, puis qu’une amélioration lui avait permis de</w:t>
      </w:r>
    </w:p>
    <w:p>
      <w:r>
        <w:t>- 16 - récupérer une capacité de travail entière dans une activité adaptée à ses limitations fonctionnelles dès le mois de novembre 2022. L’intimé s’est fondé en particulier sur les avis du SMR des 5 juin et 5 octobre 2023. La recourante a contesté cette décision en exposant que son état de santé n’avait connu aucune amélioration depuis son accident de septembre 2021, notamment en raison d’une chute survenue en 2022. Fondant son argumentation sur les rapports de ses médecins traitants, elle reprochait à l’intimé un défaut d'instruction et une appréciation arbitraire des différents documents médicaux au dossier. b) En l'occurrence, du point de vue somatique, il n'est pas contesté que l'état de santé de la recourante s'est péjoré à la suite de son accident du mois de septembre 2021, lorsque son pied gauche a heurté une borne métallique. Bien qu’antérieur de quelques semaines, cet événement n’était pas connu de l’intimé lorsqu’il a statué sur la deuxième demande de la recourante en décembre 2021. Au demeurant, celle-ci n’était alors pas en mesure d’établir une modification durable de son état de santé. L’accident a été évoqué la première fois dans le rapport du Dr G.________ du 27 mai 2022, qui a mentionné une fasciite plantaire et un status post- contusion du tarse. Ce médecin a par ailleurs indiqué qu’une seconde chute, survenue en 2022, avait entraîné une récidive de douleurs lombo- sacrées. Il mentionnait alors une capacité de travail de 30 % tout au plus dans une activité adaptée. Cela étant, comme l’a relevé le SMR, le Dr G.________ évoquait déjà de telles atteintes dans ses rapports de 2021, versés au dossier à l’appui de la deuxième demande de prestations. Ainsi, le 4 juin 2021, le Dr G.________ confirmait, en s’appuyant sur une IRM, l’existence d’un conflit radiculaire L4-L5 correspondant aux doléances – qualifiées de démonstratives – de la recourante. Il avait ensuite évoqué, dans son rapport du 24 septembre 2021, un trouble somatoforme douloureux avec un important épuisement psychique, des discopathies lombaires L4-L5 et L5-S1 avec conflit L4-L5 gauche, une enthésite inflammatoire des muscles du moyen fessiers gauche et des douleurs</w:t>
      </w:r>
    </w:p>
    <w:p>
      <w:r>
        <w:t>- 17 - atypiques de la cheville gauche. Il ne se prononçait toutefois pas sur une éventuelle capacité de travail dans une activité adaptée aux limitations fonctionnelles, mais décrivait les limitations fonctionnelles suivantes : tous les mouvements et ports de charges entraînant une sur-sollicitation du rachis dorsolombaire et sacré. S’agissant de l’évolution des atteintes somatiques après mai 2022, le Dr G.________ a annoncé qu’il mettait fin à son activité et la recourante a indiqué que son suivi avait été repris par le Dr Q.________. Interpellé par l’intimé, ce spécialiste a cependant indiqué, en décembre 2022, ne pas pouvoir répondre aux questions posées dans la mesure où il n'avait vu la recourante qu'à une seule reprise et a proposé à l’intimé de s'adresser au Dr Z.________, qui lui paraissait mieux à même de fournir les renseignements souhaités. Or, ce médecin a exposé, dans son rapport médical du 12 avril 2023, que l'atteinte au pied gauche de la recourante engendrait des difficultés à la marche prolongée, mais que la capacité de travail était totale dans une activité adaptée depuis le mois de novembre 2022. Certes, à l'instar de ce que relève le Dr G.________ dans son rapport médical du 1er décembre 2024, il faut admettre que le Dr Z.________ paraît n’avoir pris en considération que l'atteinte relative au pied gauche. Cependant, ce dernier rapport du Dr G.________ ne permet pas de retenir que la chute de 2022 aurait entraîné une aggravation durable de l’atteinte lombo- sacrée de la recourante par rapport à la situation préexistante. En effet, le Dr G.________ a décrit en 2024 des limitations fonctionnelles équivalentes à celles mentionnées dans son rapport du 24 septembre 2021, lesquelles étaient superposables aux limitations fonctionnelles prises en compte dans la première décision de l’intimé de juin 2019 et confirmées dans celle de décembre 2021. En outre, le Dr G.________ a donné, en décembre 2024, une évaluation de la capacité de travail de la recourante équivalente à celle figurant dans son rapport de mai 2022. Dans ces deux rapports, le rhumatologue a justifié son appréciation principalement par l’état psychique de sa patiente, tout en admettant qu’une telle problématique n’entrait pas dans son champ de compétence. Ainsi, il faut constater que le Dr G.________ n’a pas motivé son évaluation de la capacité de travail de la recourante par des éléments médicaux objectifs. A cela s’ajoute qu’entretemps, le 5</w:t>
      </w:r>
    </w:p>
    <w:p>
      <w:r>
        <w:t>- 18 - décembre 2023, le Dr Q.________ a complété le questionnaire médical portant sur l’impotence en précisant que sa patiente ne présentait pas de limitations fonctionnelles notables. Pour sa part, le Dr F.________ n’a pas étayé ce qui lui permettait de retenir une incapacité de travail totale depuis 2020 ainsi que des limitations fonctionnelles s’étendant à « toutes activités physiques ». Ainsi, l’intimé était légitimé à suivre les avis du Dr D.________ des 5 juin et 5 octobre 2023, selon lesquels l’accident de septembre 2021 a entraîné une aggravation passagère, avec un traumatisme direct qui a entraîné une contusion osseuse, une fasciite plantaire et secondairement une tendinite du court péronier gauche. Etant rappelé qu’il a été admis au cours de la première demande de prestations déjà que l’activité habituelle de serveuse n’était plus exigible depuis janvier 20216, il faut constater que l’aggravation a entraîné une incapacité de travail temporaire dans toute activité, puis que la recourante a retrouvé, dès novembre 2022, une capacité de travail entière dans une activité adaptée aux limitations fonctionnelles décrites par le Dr D.________, s’ajoutant à celles déterminées précédemment par le Dr N.________ en 2018. c) Sur le plan psychiatrique, bien que sa troisième demande de prestations mentionne des « troubles psychiques », il est constant que la recourante n’a consulté aucun psychiatre. Son médecin généraliste traitant n’a par ailleurs signalé aucun symptôme allant dans le sens de l’existence d’une problématique psychique et le Dr G.________ a été le seul à évoquer une telle hypothèse jusqu’à présent, sans l’étayer comme déjà relevé ci- dessus. En définitive, la recourante a uniquement fait valoir qu’une éventuelle dépendance au Tramal aurait dû être investiguée, en raison de la prescription de cette substance depuis 2020. Ladite prescription a bien été mentionnée par le Dr F.________ dans une annexe à son rapport du 12 avril 2023, mais ce médecin n’a toutefois pas donné de précision quant à</w:t>
      </w:r>
    </w:p>
    <w:p>
      <w:r>
        <w:t>- 19 - l’utilisation réelle de cette substance ni évoqué de doutes quant à une situation de dépendance de sa patiente. Au demeurant, la recourante n’a pas été affirmative dans ses écritures (cf. p. 11 du recours : « d’après les ordonnances en cours […] la recourante serait sous Tramal ») et n’a en particulier pas allégué qu’elle prenait cette substance quotidiennement. Cela étant, il n’incombe pas à l'administration d'instruire des éléments qui ne sont que des hypothèses, de sorte que les griefs de la recourante doivent être écartés. d) Il découle de ce qui précède que la recourante a subi une incapacité totale de travail et de gain dès septembre 2021, ouvrant le droit à une rente entière dès le 1er septembre 2022, puis qu’elle a récupéré, dès novembre 2022, une capacité de travail entière dans une activité adaptée à ses limitations fonctionnelles. L’intimé a procédé au calcul du préjudice économique valable en novembre 2022 en recourant à l’Enquête suisse sur la structure des salaires (ESS) de l’Office fédéral de la statistique de l’année 2020 pour les deux termes de la comparaison, adapté et indexé à 2022. Il s’est référé, pour le revenu sans invalidité, au revenu qu’une femme pouvait obtenir dans le domaine de l’hébergement et la restauration (n° 55-56) au niveau de compétence 1 et, pour le revenu avec invalidité, au revenu moyen qu’une femme pouvait percevoir tous secteurs confondus au niveau de compétence 1. La recourante n’a émis aucune critique à l’égard de ce calcul, qui peut être confirmé dans son principe. Il convient uniquement de relever qu’au 3 juin 2024, date de la décision, l’ESS 2022 était disponible et aurait dû être utilisée. Cela n’a pas d’incidence particulière sur le résultat, puisqu’avec ces chiffres, le revenu avec invalidité (54'631 fr. 17) reste supérieur au revenu sans invalidité (51'318 fr. 75). En l’absence de préjudice économique, la recourante ne peut plus prétendre au versement d’une rente d’invalidité. L’intimé a par conséquent octroyé à juste titre une rente entière limitée à la période du 1er septembre 2022 au 31 janvier 2023.</w:t>
      </w:r>
    </w:p>
    <w:p>
      <w:r>
        <w:t>- 20 - 7. a) En conclusion,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La partie recourante est au bénéfice de l’assistance judiciaire. Les frais judiciaires mis à sa charge ci-avant sont donc provisoirement supportés par l’Etat et Me Jean-Michel Duc peut prétendre une équitable indemnité pour son mandat d’office. Me Duc a produit une liste des opérations le 22 juillet 2025, faisant état de 17 heures et 55 minutes consacrées à la présente procédure par lui-même, son avocate-stagiaire ainsi qu’un juriste. S’il convient d’en tenir compte pour fixer l’indemnité, cette liste ne peut toutefois être intégralement suivie. En effet, il faut en premier lieu rappeler que seul l’avocat désigné et son stagiaire peuvent agir dans le cadre d’un mandat d’office, de sorte que le temps facturé pour des prestations fournies par un juriste de l’étude de Me Duc ne saurait être admis. Par ailleurs, certaines opérations de la liste doivent encore être retranchées au motif qu’elles concernent le dépôt de la demande d’assistance judiciaire ou l’envoi de la liste d’opérations à la Cour, ainsi que des mémos relevant du pur travail de secrétariat qui ne peuvent être indemnisés en tant que travail d’avocat. Par conséquent, le nombre d’heures nécessaires au mandat doit être ramené à 30 minutes pour Me Duc et 12 heures 30 pour son avocate-stagiaire. Compte tenu du tarif horaire applicable et du forfait de 5 % du défraiement hors taxe pour les débours, le montant de l’indemnité de Me Duc est ainsi arrêté à 102 fr. 15 et celui de son avocate-stagiaire à 1'560 fr. 70, TVA comprise (art. 2, 3 al. 2 et 3bis RAJ [règlement cantonal du 7 décembre 2010 sur l’assistance judiciaire en matière civile ; BLV 211.02.3]), soit un total versé à Me Duc de 1'662 fr. 85.</w:t>
      </w:r>
    </w:p>
    <w:p>
      <w:r>
        <w:t>- 21 - d)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