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ZD24.028946 vom 11. November 2025</w:t>
      </w:r>
    </w:p>
    <w:p>
      <w:r>
        <w:t>VD Tribunal cantonal, 2025-11-11, FR</w:t>
      </w:r>
    </w:p>
    <w:p>
      <w:r>
        <w:rPr>
          <w:b/>
        </w:rPr>
        <w:t xml:space="preserve">Quelle: </w:t>
      </w:r>
      <w:r>
        <w:t>https://mcp.opencaselaw.ch/entscheid/vd_gerichte_ZD24.028946</w:t>
      </w:r>
    </w:p>
    <w:p>
      <w:r>
        <w:t>FR: VD_GERICHTE ZD24.028946 du 11 novembre 2025</w:t>
      </w:r>
    </w:p>
    <w:p>
      <w:r>
        <w:t>IT: VD_GERICHTE ZD24.028946 del 11 novembre 2025</w:t>
      </w:r>
    </w:p>
    <w:p>
      <w:pPr>
        <w:pStyle w:val="Heading2"/>
      </w:pPr>
      <w:r>
        <w:t>Erwägungen</w:t>
      </w:r>
    </w:p>
    <w:p>
      <w:r>
        <w:rPr>
          <w:b/>
        </w:rPr>
        <w:t>E. 3</w:t>
      </w:r>
    </w:p>
    <w:p>
      <w:r>
        <w:t>A titre liminaire, il convient d’examiner le grief tiré d’une prétendue violation du droit d’être entendue invoquée par la recourante.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w:t>
      </w:r>
    </w:p>
    <w:p>
      <w:r>
        <w:t>- 10 -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147 IV 249 consid. 2.4 ; 146 II 335 consid. 5.1 ; 141 V 557 consid. 3.2.1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Dans le cas particulier, il apparaît que la décision litigieuse expose clairement – bien qu’avec concision – les motifs à l’origine du refus de prester. On comprend ainsi que l’intimé s’est fondé sur un examen complet du dossier pour constater, d’une part, une incapacité de travail totale dans l’activité habituelle de la recourante et, d’autre part, une capacité de travail entière dans une activité adaptée à l’état de santé et aux limites fonctionnelles. De surcroît, il ressort de l’instruction de l’intimé, qu’après la communication du projet de décision du 22 janvier 2024, la recourante a eu accès le 26 février 2024 à l’entièreté de son dossier, dans lequel figurait notamment l’avis du SMR du 31 août 2023 contenant la liste de ses limitations fonctionnelles et la mention de l’activité d’auxiliaire parascolaire comme activité adaptée à ses limitations. Elle était donc non seulement en mesure de saisir les enjeux de l’affaire, mais elle a également pu faire valoir ses arguments au cours de la présente</w:t>
      </w:r>
    </w:p>
    <w:p>
      <w:r>
        <w:t>- 11 - procédure judiciaire devant une instance jouissant d’un plein pouvoir d’examen pour statuer. Dans ces conditions, l’argument tiré d’une éventuelle violation du droit d’être entendu doit être écarté.</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(MICHEL VALTERIO, Commentaire de la loi sur l’assurance-invalidité, Genève/Zurich/Bâle 2018, n° 2 ad art. 28a LAI).</w:t>
      </w:r>
    </w:p>
    <w:p>
      <w:r>
        <w:t>- 12 - aa) Chez les assurés qui exerçaient une activité lucrative à plein temps avant d’être atteints dans leur santé physique, mentale ou psychique,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et 28a al. 1 LAI). bb)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(méthode « spécifique » d’évaluation de l’invalidité ; art. 28a al. 2 LAI et art. 8 al. 3 LPGA). Par travaux habituels des assurés travaillant dans le ménage, il faut entendre l’activité usuelle dans le ménage, ainsi que les soins et l’assistance apportés aux proches (art. 27 al. 1 RAI ; cf. MARGIT MOSER-SZELESS, in Dupont/Moser-Szeless [édit.], Loi sur la partie générale des assurances sociales, Commentaire romand, Bâle 2018, n° 52 ad art. 16 LPGA). cc)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w:t>
      </w:r>
    </w:p>
    <w:p>
      <w:r>
        <w:t>- 13 -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27bis RAI). d)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w:t>
      </w:r>
    </w:p>
    <w:p>
      <w:r>
        <w:t>- 14 -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Une évaluation économique sur le ménage effectuée au domicile de la personne assurée (cf. art. 69 al. 2 RAI) constitue en règle générale une base appropriée et suffisante pour évaluer les empêchements dans l’accomplissement des travaux habituels. En ce qui concerne la valeur probante d’un tel rapport d’instruction,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S’agissant de la prise en compte de l’empêchement dans la réalisation des travaux habituels dû à l’invalidité, singulièrement de l’aide</w:t>
      </w:r>
    </w:p>
    <w:p>
      <w:r>
        <w:t>- 15 -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w:t>
      </w:r>
    </w:p>
    <w:p>
      <w:r>
        <w:rPr>
          <w:b/>
        </w:rPr>
        <w:t>E. 6</w:t>
      </w:r>
    </w:p>
    <w:p>
      <w:r>
        <w:t>a) En l’espèce, l’intimé a considéré que la recourante, dans l’hypothèse où elle n’était pas atteinte dans sa santé, aurait exercé son activité lucrative à un taux respectivement de 60 % jusqu’à la fin du mois de juillet 2023 et de 70 % dès le mois d’août 2023, le reste étant consacré à l’accomplissement de ses travaux habituels. b) Cette clé de répartition n’étant pas contestée, il y a lieu d’appliquer la méthode mixte d’évaluation de l’invalidité.</w:t>
      </w:r>
    </w:p>
    <w:p>
      <w:r>
        <w:rPr>
          <w:b/>
        </w:rPr>
        <w:t>E. 7</w:t>
      </w:r>
    </w:p>
    <w:p>
      <w:r>
        <w:t>Concernant le taux d’invalidité que la recourante présente dans la part qu’elle consacre à son activité lucrative, il ressort de l’ensemble des pièces médicales recueillies en cours d’instruction que la recourante est, dans le cadre d’un syndrome douloureux chronique de type fibromyalgie, associé à un syndrome du défilé thoracique et à un syndrome d’hyperlaxité, à l’origine de divers symptômes fonctionnels, limitée avant tout par des douleurs chroniques qui impactent sa qualité de vie et l’empêchent de vaquer à ses occupations quotidiennes. A cet égard, son incapacité de travail totale dans son activité habituelle n’est pas contestée. a) En l’occurrence, les avis divergent quant à la question de la capacité résiduelle de travail que l’on peut exiger de la recourante dans une activité adaptée à ses diverses limitations fonctionnelles. D’un côté, le Dr W.________ estime que ladite capacité est actuellement réduite (cf. rapports des 25 mars et 30 novembre 2024). De l’autre, le SMR considère qu’elle demeure pleine et entière (cf. avis médicaux des 31 août 2023, 24 mai 2024 et 4 février 2025). Entre les deux positions, le</w:t>
      </w:r>
    </w:p>
    <w:p>
      <w:r>
        <w:t>- 16 - Dr Z.________ dans son rapport du 3 décembre 2024, le Prof. X.________ et le Dr C.________ dans leur rapport du 24 mai 2023 et le Prof. K.________ dans son rapport du 10 mars 2023 ne se prononcent pas clairement sur cette question. b) Afin d’apprécier la capacité de travail de la recourante, l’intimé s’est essentiellement fondé sur les avis médicaux des 31 août 2023 et 24 mai 2024 du SMR. Celui-ci a retenu, au vu du rapport du 4 août 2022 du Dr Z.________ et des conclusions du rapport de stage en milieu parascolaire de décembre 2022, que la recourante était capable de travailler à 100 % dans une activité adaptée telle que celle d’auxiliaire parascolaire. c) En l’état du dossier, il n’y a pas lieu de s’écarter de l’appréciation de la situation effectuée par le SMR. En effet, le rapport de la B.________ de décembre 2022 a mis en avant le caractère adapté de l’activité d’auxiliaire parascolaire pour la recourante, laquelle n’éprouvait pas « de gêne physique significative durant son activité » et aurait pu augmenter son taux d’activité si elle avait effectué un stage plus long ; le curriculum vitae de la recourante avait d’ailleurs été adapté et une lettre de motivation pour des candidatures spontanées préparée en conséquence. Le rapport souligne également qu’une formation d’assistante socio-éducative lui aurait été bénéfique, mais que celle-ci n’est pas réaliste pour des raisons financières. En outre, la capacité de travail de la recourante dans une activité adaptée a été attestée par le Dr Z.________ dans ses rapports des 1er et 4 août 2022, dans lesquels il a certifié que la recourante pouvait effectuer des travaux non physiques à 100 % dès le 1er septembre 2022. Le fait que des appréciations postérieures ne s’expriment pas clairement sur la question de la capacité de travail, en particulier celle du T.________ du 24 mai 2023 qui se prononce uniquement sur la possibilité d’une reconversion professionnelle, ne saurait être interprété comme une remise en cause de ce constat. Dans ce contexte, les explications des 25 mars et 30 novembre 2024 du Dr W.________ n’emportent pas la conviction de la</w:t>
      </w:r>
    </w:p>
    <w:p>
      <w:r>
        <w:t>- 17 - Cour de céans. En effet, dans sa première évaluation, il mentionne notamment que « l’on ne peut attendre de la part de Mme R.________ qu’elle porte des enfants, voire des chaises, de manière répétitive, sur une période de 8h/jour ». Or il ressort tant de l’évaluation de E.________ que du rapport de la B.________ que l’activité en question ne prévoyait pas de soulever des chaises ou des enfants en âge scolaire, mais plutôt d’aider dans les actes du quotidien de la vie, de participer aux activités et aux jeux, de contribuer au service du repas de midi et prise de repas en commun, ainsi que d’observer et échanger avec les encadrants. Lors de ce stage, la recourante a eu la responsabilité d’une table de cinq enfants durant les repas et les goûters et a participé aux activités ludiques et créatives, en lisant notamment des histoires pour les plus petits. Ces tâches semblent en adéquation avec les limitations fonctionnelles de la recourante constatées par le SMR, à savoir une activité plutôt sédentaire, sans port de charges, sans mouvement répétitif du bras droit, sans travail au-dessus du niveau des épaules, sans travail en porte-à-faux du tronc ou nécessitant des positions statiques assis/debout prolongées. Il en va de même pour les limitations supplémentaires constatées par le Dr W.________, à savoir une position statique ou en porte-à-faux de la nuque, une activité à bout-de-bras, des montées/descentes fréquentes de pentes ou d’escaliers, des accroupissements ou des agenouillements, une marche sur terrain accidenté ou prolongée et un manque global d’endurance. Concernant les troubles de l’adaptation mis en évidence dans le cadre de la présente procédure, la recourante n’explique pas en quoi ils auraient un impact sur sa capacité de travail. Il ressort d’ailleurs du rapport du 11 mai 2023 du Dr H.________ et de la Dre P.________ que ce diagnostic découle d’une évaluation psychiatrique limitée et que les deux spécialistes préconisaient une reprise du travail dès que possible. d) Au demeurant, il convient de relever que les limitations fonctionnelles mises en évidence sont certes incommodantes, mais que leur importance doit être relativisée, étant donné que plusieurs d’entre elles se recoupent (port de charges, position en porte à faux, travail à</w:t>
      </w:r>
    </w:p>
    <w:p>
      <w:r>
        <w:t>- 18 - bout-de-bras) et que d’autres ne sont problématiques que dans la mesure où le mouvement prohibé qu’elles visent est effectué de façon répétitive ou constante (activité répétitive des membres supérieurs, montée/descente fréquente, marche prolongée, manque global d’endurance). L’état de santé de la recourante ne présente donc pas de spécificités telles qu’elles rendraient illusoires l’exercice d’une activité professionnelle. Le marché du travail offre en effet un large éventail d’activités légères, dont on doit convenir qu’un certain nombre sont adaptées aux limitations de la recourante et accessibles sans aucune formation particulière (TF 9C_80/2024 du 27 août 2024, consid. 5.4 ; 9C_326/2018 du 5 octobre 2018, consid. 6.2). A cet égard, les formations linguistiques et en informatique qu’elle a suivies en 2022 devraient lui offrir des meilleures perspectives sur le marché de l’emploi. e) Il reste encore à évaluer le degré d’invalidité de la recourante pour la part dévolue à l’exercice d’une activité lucrative, en procédant à une comparaison des revenus avec et sans invalidité (cf. supra consid. 4c/aa). aa) Depuis le 1er septembre 2022 (à savoir la date d’échéance d’une année de l’art. 28 al. 1 let. b LAI), le revenu annuel sans invalidité de la recourante – extrapolé à 100 % (cf. supra consid. 4c/cc) – s’élève à 54'435 fr. 95 (cf. rapports des sociétés F.________ du 8 juillet 2022 et M.________ du 18 août 2022). bb) Pour l’établissement du revenu avec invalidité d’une personne assurée n’ayant pas repris une activité lucrative dans une profession adaptée, ou lorsque son activité ne met pas pleinement en valeur sa capacité de travail résiduelle, contrairement à ce qui serait raisonnablement exigible, il convient de recourir à des données statistiques (ATF 126 V 75 ; MOSER-SZELESS, op. cit., n° 25 et n° 33 ad art. 16). Pour une personne ne disposant d’aucune formation professionnelle dans une activité adaptée, il convient en règle générale de se fonder sur les salaires bruts standardisés (valeur centrale) dans l’économie privée (tableaux TA1_skill_level), tous secteurs confondus</w:t>
      </w:r>
    </w:p>
    <w:p>
      <w:r>
        <w:t>- 19 - (RAMA 2001 n° U 439 p. 347 ; voir également TF 8C_205/2021 du 4 août 2021 consid. 3.2). Les salaires bruts standardisés dans l’Enquête suisse sur la structure des salaires (ESS)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En 2022, le revenu moyen des femmes exerçant une activité manuelle simple était de 4'367 fr. par mois pour une semaine de travail de 40 heures. Compte tenu d’une durée hebdomadaire moyenne de travail de 41,7 heures dans ce secteur d’activités, le revenu annuel avec invalidité s’élève à 54'631 fr. 17. cc) Il résulte de la comparaison de ces deux revenus un degré d’invalidité de 0 %.</w:t>
      </w:r>
    </w:p>
    <w:p>
      <w:r>
        <w:rPr>
          <w:b/>
        </w:rPr>
        <w:t>E. 8</w:t>
      </w:r>
    </w:p>
    <w:p>
      <w:r>
        <w:t>a) Pour mesurer l’ampleur des empêchements de la recourante dans l’accomplissement de ses travaux habituels, l’intimé s’est principalement appuyé sur le rapport d’enquête à domicile du 18 janvier 2024. Il ressort de ce document que la recourante est entravée, en raison de ses atteintes à la santé, dans la confection des repas et le nettoyage de la cuisine, l’entretien de l’appartement, les achats et les courses diverses, la lessive, le repassage, ainsi que le pliage et le rangement des vêtements. L’aide de son époux et de sa fille de 15 ans sont néanmoins exigibles pour la réalisation de ces tâches. Il s’ensuit que l’empêchement dans l’accomplissement des travaux habituels s’élève à 3,46 %. b) Contrairement à ce que soutient la recourante en se prévalant notamment de l’avis du Dr W.________, il apparaît que l’enquêteur a bien pris en considération, au moment d’examiner les différents travaux ménagers entrant en ligne de compte, la situation médicale et les limitations fonctionnelles arrêtées par le corps médical, en particulier les activités répétitives avec les membres supérieurs. En effet,</w:t>
      </w:r>
    </w:p>
    <w:p>
      <w:r>
        <w:t>- 20 - l’enquêteur a notamment relevé que « contrairement à son activité professionnelle (femme de ménage), aucun rendement n’est attendu, ce qui lui permet de séquencer les tâches pour maintenir son autonome (sic) ». Pour le reste, l’enquêteur a porté attention aux déclarations de la recourante dans son rapport, lequel apparaît plausible, motivé et rédigé de façon suffisamment détaillée. Partant, il convient de reconnaître une pleine valeur probante à ce dernier et de retenir un taux d’empêchement de 3,46 %.</w:t>
      </w:r>
    </w:p>
    <w:p>
      <w:r>
        <w:rPr>
          <w:b/>
        </w:rPr>
        <w:t>E. 9</w:t>
      </w:r>
    </w:p>
    <w:p>
      <w:r>
        <w:t>Il s’agit enfin d’évaluer le taux d’invalidité global de la recourante en application de la méthode mixte (cf. supra consid. 4c/cc). a) Pour la période du 1er octobre 2022 au 31 juillet 2023, le taux d’invalidité global doit être fixé à 1 % ([0 % x 60 %] + [3,46 % x 40 %]). b) Pour la période à compter du 1er août 2023, le taux d’invalidité global doit être fixé à 1 % ([0 % x 70 %] + [3,46 % x 30 %]). c) En conséquence, c’est à bon droit que l’intimé a refusé à la recourante le droit à une rente d’invalidité.</w:t>
      </w:r>
    </w:p>
    <w:p>
      <w:r>
        <w:rPr>
          <w:b/>
        </w:rPr>
        <w:t>E. 10</w:t>
      </w:r>
    </w:p>
    <w:p>
      <w:r>
        <w:t>Le dossier est pour le surplus complet et permet à la Cour de céans de statuer en pleine connaissance de cause. Il n’y a donc pas lieu de compléter l’instruction, comme le requiert la recourante,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8C_90/2020 du 17 novembre 2020 consid. 4.3.2 ; 8C_826/2019 du 13 mai 2020 consid. 5.2).</w:t>
      </w:r>
    </w:p>
    <w:p>
      <w:r>
        <w:rPr>
          <w:b/>
        </w:rPr>
        <w:t>E. 11</w:t>
      </w:r>
    </w:p>
    <w:p>
      <w:r>
        <w:t>En définitive, le recours, mal fondé, doit être rejeté et la décision rendue le 28 mai 2024 par l’intimé confirmée.</w:t>
      </w:r>
    </w:p>
    <w:p>
      <w:r>
        <w:t>- 21 - 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b) Il n’y a par ailleurs pas lieu d’allouer de dépens à la recourante, qui n’obtient pas gain de cause (art. 61 let. g LPGA). c) La partie recourante est au bénéfice de l’assistance judiciaire. Les frais judiciaires mis à sa charge ci-avant sont donc provisoirement supportés par l’Etat et Me Baris Bostan peut prétendre une équitable indemnité pour son mandat d’office, qu’il convient de fixer à 2'485 fr. 75, débours et TVA compris (art. 2, 3 al. 2 et 3bis RAJ [règlement cantonal du 7 décembre 2010 sur l’assistance judiciaire en matière civile ; BLV 211.02.3]).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