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ZD24.026595 vom 6. März 2025</w:t>
      </w:r>
    </w:p>
    <w:p>
      <w:r>
        <w:t>VD Tribunal cantonal, 2025-03-06, FR</w:t>
      </w:r>
    </w:p>
    <w:p>
      <w:r>
        <w:rPr>
          <w:b/>
        </w:rPr>
        <w:t xml:space="preserve">Quelle: </w:t>
      </w:r>
      <w:r>
        <w:t>https://mcp.opencaselaw.ch/entscheid/vd_gerichte_ZD24.026595</w:t>
      </w:r>
    </w:p>
    <w:p>
      <w:r>
        <w:t>FR: VD_GERICHTE ZD24.026595 du 6 mars 2025</w:t>
      </w:r>
    </w:p>
    <w:p>
      <w:r>
        <w:t>IT: VD_GERICHTE ZD24.026595 del 6 marzo 2025</w:t>
      </w:r>
    </w:p>
    <w:p>
      <w:pPr>
        <w:pStyle w:val="Heading2"/>
      </w:pPr>
      <w:r>
        <w:t>Erwägungen</w:t>
      </w:r>
    </w:p>
    <w:p>
      <w:r>
        <w:rPr>
          <w:b/>
        </w:rPr>
        <w:t>E. 4</w:t>
      </w:r>
    </w:p>
    <w:p>
      <w:r>
        <w:t>a) L’assuré a droit à une rente si sa capacité de gain ou sa capacité d’accomplir ses travaux habituels ne peut pas être rétablie,</w:t>
      </w:r>
    </w:p>
    <w:p>
      <w:r>
        <w:t>- 12 - maintenue ou améliorée par des mesures de réadaptation raisonnablement exigibles, s’il a présenté une incapacité de travail d’au moins 40 % en moyenne durant une année sans interruption notable et si, au terme de cette année, il est invalide à 40 % au moins (art. 28 al. 1 LAI). b) Conformément à l’art. 28 al. 2 LAI (dans sa teneur en vigueur au 31 décembre 2021), un taux d’invalidité de 40 % donne droit à un quart de rente, un taux d’invalidité de 50 % au moins donne droit à une demi-rente, un taux d’invalidité de 60 % au moins donne droit à trois- quarts de rente et un taux d’invalidité de 70 % au moins donne droit à une rente entière. c) Le droit à la rente prend naissance au plus tôt à l’échéance d’une période de six mois à compter de la date à laquelle l’assuré a fait valoir son droit aux prestations conformément à l’art. 29 al. 1 LPGA, mais pas avant le mois qui suit le 18e anniversaire de l’assuré. La rente est versée dès le début du mois au cours duquel le droit prend naissance (art. 29 al. 1 et 3 LAI). d) Conformément à l’art. 17 al. 1 LPGA, dans sa teneur en vigueur depuis le 1er janvier 2022, la rente d’invalidité est, d’office ou sur demande, révisée pour l’avenir, à savoir augmentée, réduite ou supprimée, lorsque le taux d’invalidité de l’assuré subit une modification d’au moins 5 points de pourcentage (let. a) ou atteint 100 % (let. b). Un changement déterminant pour l’accroissement du droit aux prestations est établi, en particulier, dès qu’une dégradation de sa capacité de gain a duré trois mois sans interruption notable (art. 88a al. 2 RAI). Ces dispositions sont applicables, par analogie, lorsqu’un office de l’assurance- invalidité alloue, avec effet rétroactif, une rente d’invalidité temporaire ou échelonnée (ATF 145 V 209 consid. 5.3 ; 131 V 164 consid. 2.2 ; 125 V 413 consid. 2d). e) En vertu de l’art. 28b LAI, dans sa teneur en vigueur depuis le 1er janvier 2022, la quotité de la rente est fixée en pourcentage d’une rente entière. Ainsi, pour un taux d’invalidité compris entre 50 et 69 %, la</w:t>
      </w:r>
    </w:p>
    <w:p>
      <w:r>
        <w:t>- 13 - quotité de la rente correspond au taux d’invalidité. Pour un taux d’invalidité supérieur ou égal à 70 %, l’assuré a droit à une rente entière. Enfin, des quotités spécifiques de rente sont prévues lorsque le taux d’invalidité est inférieur à 50 %. f)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g) Le revenu sans invalidité doit être évalué de la manière la plus concrète possible. Il se déduit en règle générale du salaire réalisé avant l’atteinte à la santé (cf. pour le nouveau droit l’art. 26 al. 1, première phrase, RAI),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8C_659/2022 &amp; 8C_707/2022 du 2 mai 2023 consid. 4.2.1 et les références). h)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Ce principe figure désormais à l’art. 26bis al. 1 RAI qui stipule que si l’assuré réalise un revenu après la survenance de l’invalidité, le revenu avec invalidité (art. 16 LPGA) correspond à ce revenu, à condition que l’assuré exploite autant que possible sa capacité fonctionnelle résiduelle en exerçant une activité qui peut raisonnablement être exigée de lui. Un</w:t>
      </w:r>
    </w:p>
    <w:p>
      <w:r>
        <w:t>- 14 - éventuel salaire social versé par l’employeur n’est pas pris en considération. La preuve d’un tel salaire social est toutefois soumise à des exigences strictes, car on peut partir du principe que les salaires payés équivalent normalement à une prestation de travail correspondante (ATF 141 V 351 consid. 4.2). i)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j)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w:t>
      </w:r>
    </w:p>
    <w:p>
      <w:r>
        <w:t>- 15 - résistance à un traitement conduit dans les règles de l’art (ATF 141 V 281 consid. 4.3 et 4.4).</w:t>
      </w:r>
    </w:p>
    <w:p>
      <w:r>
        <w:rPr>
          <w:b/>
        </w:rPr>
        <w:t>E. 5</w:t>
      </w:r>
    </w:p>
    <w:p>
      <w:r>
        <w:t>a) Parmi ses griefs, le recourant estime notamment que l’OAI n’a pas répondu de manière claire et explicite à ses objections dans le cadre de la procédure d’audition. Il indique en outre qu’il ne sait toujours pas sur quelle base repose la décision lui octroyant un quart de rente. Il se plaint ainsi d’un défaut de motivation. b)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la personne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la personne concernée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146 II 335 consid. 5.1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w:t>
      </w:r>
    </w:p>
    <w:p>
      <w:r>
        <w:t>- 16 - c) En l’occurrence, il faut constater que la motivation de la décision litigieuse contient les éléments déterminants retenus par l’OAI, qui permettent de comprendre les motifs qui fondent cette décision. L’OAI a en outre pris position, dans un courrier du 15 avril 2024, sur les arguments présentés par l’assuré lors de la procédure d’audition. Certes, comme le relève le recourant, l’OAI n’a pas répondu de manière détaillée à chacun des arguments avancés, ce qui ne saurait lui être reproché puisque les motifs retenus à la base de sa décision sont clairs, à savoir qu’il suit les conclusions de l’expertise du C.________, à laquelle il reconnaît une pleine valeur probante. d) C’est le lieu de préciser que dans ses écritures, y compris celles transmises dans le cadre de la procédure de recours, le recourant fait valoir de nombreux griefs, dont certains ne sont pas décisifs pour l’issue de la procédure. Ainsi que l’autorise la jurisprudence (consid. 5b supra), la Cour de céans se limitera à examiner les arguments du recourant qui sont décisifs pour l’issue du recours.</w:t>
      </w:r>
    </w:p>
    <w:p>
      <w:r>
        <w:rPr>
          <w:b/>
        </w:rPr>
        <w:t>E. 6</w:t>
      </w:r>
    </w:p>
    <w:p>
      <w:r>
        <w:t>a) L’OAI s’est fondé sur les conclusions de l’expertise bi- disciplinaire qu’il a fait réaliser par le C.________, comprenant un volet de médecine interne et de psychiatrie, et complétée par une évaluation neuropsychologique. Il convient de reconnaître une pleine valeur probante au rapport d’expertise rendu le 16 octobre 2023. Les experts se sont en effet déterminés de manière motivée et convaincante, en pleine connaissance du dossier de l’assuré, de son anamnèse et de ses plaintes, après avoir procédé à un examen clinique détaillé. Ils ont finalisé leur appréciation dans le cadre d’une évaluation consensuelle pluridisciplinaire. Ils retiennent le diagnostic incapacitant d’état dépressif, épisode actuel moyen (F32.1) et ceux sans effet sur la capacité de travail d’anxiété généralisée (F41.1), d’obésité de stade 1, d’hypertension artérielle, de goutte, de syndrome d’apnée du sommeil de degré moyen appareillé, de rhino-conjonctivite allergique saisonnière, de cervicarthrose et discopathies dégénératives C5-C6 et C6-C7 avec hernies discales et status post-infiltration en 2015, de status post urolithiase droite en 2018, de</w:t>
      </w:r>
    </w:p>
    <w:p>
      <w:r>
        <w:t>- 17 - status post ablation de matériel d’ostéosynthèse et réduction ouverte et ostéosynthèse après fracture de la malléole externe gauche en 2005. b) Sur le plan de la médecine interne, le Dr S.________ a procédé à une anamnèse par système détaillée et recueilli des informations sur la situation familiale, sociale et professionnelle du recourant. Il a réalisé un examen clinique, qu’il a complété par des analyses de laboratoire. Le Dr S.________ a tenu compte des discopathies dégénératives C5-C6 et C6-C7 avec hernies discales et troubles névralgiques mentionnées par le Dr Y.________ dans son rapport du 15 juillet 2021, diagnostic auquel la Dre L.________ a ajouté celui de cervicarthrose dans son rapport du 9 mars 2023. Le syndrome d’apnée du sommeil que le médecin traitant suspectait dans son rapport du 26 décembre 2022 a été confirmé par le Dr J.________, qui a indiqué que ce syndrome était de degré moyen et qu’il ne constituait en principe pas un motif d’incapacité de travail, sauf dans le cas des professions comportant des horaires de nuit (rapport du 17 février 2023). L’expert a également tenu compte de l’hyperuricémie dont le Dr Y.________ faisait état dans son rapport du 26 décembre 2022 et des crises de goutte en résultant. Le Dr S.________ a estimé que l’assuré n’était pas limité dans ses activités du point de vue de la médecine interne et a proposé, s’agissant du profil d’effort, d’éviter les activités nécessitant des travaux en hauteur ou des ports de charges fréquents en raison des antécédents d’arthrose et de discopathies cervicales étagées. Il a également suggéré d’éviter le travail de nuit en raison du syndrome d’apnées du sommeil de degré modéré, actuellement appareillé par CPAP. Il a constaté que l’activité habituelle du recourant respectait ces limitations fonctionnelles et qu’il n’y avait nul besoin de recourir à une activité adaptée. Il a précisé que, du point de vue de la médecine interne, la capacité de travail avait toujours été de 100 %.</w:t>
      </w:r>
    </w:p>
    <w:p>
      <w:r>
        <w:t>- 18 - c) Sur le plan psychiatrique, la Dre D.________ a réalisé un entretien approfondi avec l’assuré sur les différents aspects de sa vie, elle a recueilli une anamnèse psychiatrique systématique et a également rendu compte de ses observations. Elle s’est référée à l’examen neuropsychologique du 8 août 2023 et en a fait réaliser un nouveau, en date du 21 août 2023. Elle a motivé le diagnostic d’état dépressif par la présence d’une diminution marquée de l’intérêt et du plaisir pour nombre d’activités, d’une tristesse durant parfois plus de deux semaines consécutives, d’une hypersomnie, d’une fatigue malgré l’appareillage de l’apnée du sommeil, d’un sentiment de dévalorisation et d’une diminution de l’aptitude à penser et à se concentrer, ainsi que de troubles de la mémoire. L’experte psychiatre a relevé que la dépression était masquée, en l’absence de trouble thymique à l’examen clinique et que ce diagnostic était comparable à celui posé par le Dr Z.________ dans ses différents rapports, si ce n’est qu’elle ne retenait pas l’existence d’un trouble récurrent dans la mesure où l’expertisé ne mentionnait pas de rémission entre son traitement à la [...] et celui avec le Dr Z.________. C’est d’ailleurs ce qui ressort du rapport du Dr Y.________ du 15 juillet 2021, qui indiquait que le trouble dépressif remontait à 2014. Quant au diagnostic d’anxiété généralisée, l’experte l’a posé sur la base d’une anxiété de fond permanente, sous forme de ruminations, y compris la nuit. Contrairement à ce que l’experte mentionne, ce diagnostic a également été retenu par le Dr Z.________ dans son rapport du 24 février 2023. L’appréciation diagnostique de l’experte rejoint par conséquent celle du psychiatre traitant. La Dre D.________ a procédé à l’évaluation de la capacité de travail du recourant en application des critères jurisprudentiels applicables. S’agissant de la gravité du trouble dépressif et de la prise en considération du caractère plus ou moins prononcé des éléments pertinents pour le diagnostic, elle a indiqué que l’atteinte n’était pas sévère, en l’absence d’un ralentissement psychomoteur, de trouble de l’appétit ou d’idées suicidaires (expertise p. 30). Elle s’est prononcée sur le traitement suivi, relevant que plusieurs antidépresseurs avaient échoué et suggérant d’introduire un nouveau traitement dans la mesure où celui</w:t>
      </w:r>
    </w:p>
    <w:p>
      <w:r>
        <w:t>- 19 - alors suivi était le même depuis plus de deux ans, sans qu’il n’ait apporté une amélioration substantielle. Elle a néanmoins précisé que le pronostic restait réservé compte tenu du caractère chronique et résistant de la dépression, et qu’une éventuelle amélioration prendrait au minimum 6 à 12 mois (expertise pp. 30-31). Elle a analysé l’ensemble des ressources mobilisables au moyen de la mini CIF-APP, comme le relève le SMR dans son avis du 18 octobre 2023, et a notamment pris en compte les troubles cognitifs mis en évidence par l’examen neuropsychologique en détaillant l’impact que ceux-ci avaient sur le recourant, à savoir une limitation des capacités de planification et de structuration des tâches, de flexibilité et d’adaptabilité, de mise en pratique des compétences, ainsi que de capacité à porter des jugements et de prendre des décisions (expertise p. 32). L’experte a tenu compte de la personnalité du recourant, en relevant que celui-ci ne présentait ni trouble de la relation, ni méfiance, ni impulsivité, ni irritabilité, ni agressivité (expertise p. 28). Elle a finalement noté qu’il n’y avait pas d’incohérence à relever (expertise p. 32). A l’issue de son examen, l’experte a conclu à l’existence d’une capacité de travail nulle de juin 2020 à janvier 2021 en toutes activités, puis d’une capacité de travail dans l’activité d’[...] de 60 % dès janvier 2021, puis de 50 % dès novembre 2022. Dans une activité adaptée, la capacité de travail était de 60 % depuis février 2021. Il devait s’agir d’une activité simple où l’assuré pouvait faire des pauses toutes les heures et demie et qui ne mette pas trop à l’épreuve sa concentration et sa mémoire, telle qu’une activité d’employé de commerce simple. d) Le recourant soulève de nombreuses critiques à l’encontre de l’expertise du C.________. aa) Il fait principalement valoir que les experts, et l’OAI, ont surestimé sa capacité de travail et n’ont pas suffisamment tenu compte de la péjoration de sa situation. Il est d’avis que sa capacité de travail était de 50 % dès février 2021 et qu’elle n’excède pas 25 % depuis novembre 2022. Il reproche à l’OAI de ne pas avoir réinterrogé ses médecins traitants à cet égard, relevant qu’ils ont été sollicités pour la dernière fois en février 2023 et que l’expertise a été effectuée fin août 2023.</w:t>
      </w:r>
    </w:p>
    <w:p>
      <w:r>
        <w:t>- 20 - Il faut constater que la capacité de travail de 60 % fixée par les experts à partir de février 2021 correspond à celle attestée par le psychiatre traitant du recourant (rapports du Dr Z.________ des 15 juillet 2021, 30 décembre 2021 et 22 avril 2022), de sorte qu’aucune raison médicale ne justifie de retenir une capacité moindre pour cette période-là. Les experts ont ensuite tenu compte de l’aggravation de l’état de santé survenue en novembre 2022, avec notamment une augmentation de la fatigue, qui s’inscrit également dans un syndrome d’apnée obstructive du sommeil et n’a pas été améliorée malgré l’appareillage mis en place (expertise p. 23). Ils ont considéré que la capacité de travail du recourant dans son activité d’[...] n'était plus que de 50 % dès novembre 2022. Ce taux correspond à celui qui a été attesté par le Dr Y.________ dans son rapport du 26 décembre 2022, dans lequel il fait mention de l’aggravation de l’état de santé de l’assuré, avec une fatigabilité, une tendance à l’épuisement rapide, des troubles de la concentration et de la mémorisation. De même, c’est également le taux de capacité de travail retenu à partir du 1er décembre 2022 par le Dr Z.________ dans son rapport du 24 février 2023, dans lequel il fait état d’une évolution défavorable et d’une diminution de la capacité de travail de 60 % à 50 %. Le rapport de la Dre L.________ du 8 mars 2023, dans lequel elle indique que le recourant ne peut pas effectuer plus que 50 % de son 50 % ne suffit pas à remettre en cause les conclusions des experts, qui correspondent par ailleurs aux appréciations des autres médecins traitants. La Dre L.________ motive le taux de productivité par le fait que l’assuré est déjà épuisé au décours d’un horaire à 50 %. Or elle n’explique pas pour quelle raison, dans le cadre d’un tel horaire à 50 % qui a pour but de tenir compte du besoin de récupération de l’assuré, ce dernier aurait encore une baisse de rendement à hauteur de 50 %. Elle précise en outre suivre le recourant uniquement depuis un mois au moment de la rédaction de son rapport et renvoie à l’appréciation du Dr Z.________, en précisant que la problématique est principalement psychique.</w:t>
      </w:r>
    </w:p>
    <w:p>
      <w:r>
        <w:t>- 21 - Dans ses écritures, le recourant se réfère à un rapport du Dr Z.________ qui attesterait de son taux de productivité de 25 % dès novembre 2022, puis de seulement 20 % à partir du 25 août 2023. Il n’existe cependant pas de rapport dans ce sens au dossier. Le recourant explique également que son taux contractuel de travail a été réduit à 25 % depuis le 1er février 2024. Or, en l’absence d’élément médical nouveau, il n’y a pas de raison de s’écarter de l’appréciation des experts, qui ont tenu compte de l’ensemble de la situation et se sont prononcés sur la capacité de travail médicalement exigible du recourant en tenant notamment compte de ses ressources. Comme l’a indiqué l’OAI, le fait que la B.________ ait retenu l’existence d’une invalidité de 75 % est sans influence sur l’évaluation du droit du recourant aux prestations de l’assurance-invalidité. L’OAI n’est en effet pas lié par une telle décision et les conditions du droit à une rente peuvent diverger notablement en matière de prévoyance professionnelle. bb) Le recourant estime que les experts n’ont pas suffisamment tenu compte de ses atteintes. Il rappelle qu’il souffre de hernies cervicales et de douleurs à la nuque avec irradiations dans l’avant- bras gauche et jusqu’à l’index et au majeur de la main gauche. Comme cela a été détaillé ci-dessus (consid. 6b), le Dr S.________ a pris en compte les différentes atteintes somatiques présentées par le recourant, mais a estimé que celles-ci n’étaient pas incapacitantes. Il a notamment tenu compte des problèmes d’arthrose cervicale du recourant et de l’existence de dysesthésies persistantes au niveau des 2e et 3e doigts de la main gauche, atteinte pour laquelle il avait eu des infiltrations par le Dr [...] en 2015 (expertise pp. 11, 16, 18 et 19). L’expert a relevé que la situation semblait stabilisée et a proposé de s’en tenir aux limitations fonctionnelles retenues par le Dr Y.________, à savoir d’éviter les travaux en hauteur et les ports de charges répétitifs (expertise p. 19). Quoi qu’en pense le recourant, on ne saurait estimer que le Dr S.________ aurait dû contacter le Dr [...], cette démarche n’apparaissant pas nécessaire au vu des éléments au dossier et de ceux ressortant du volet de médecine interne de l’expertise.</w:t>
      </w:r>
    </w:p>
    <w:p>
      <w:r>
        <w:t>- 22 - Le Dr S.________ a pris en compte l’existence de crises d’acide urique et a pris note des problèmes occasionnels de peau évoqués à l’anamnèse par le recourant (expertise p. 12), sans retenir de diagnostic à cet égard. L’assuré n’a pas fait part de problèmes d’équilibre aux experts du C.________. Le Dr S.________ n’a constaté aucun souci d’équilibre aux épreuves de mobilité (expertise p. 15) et il convient de rappeler que le Dr G.________ a attesté d’un examen neurologique sans particularité dans son rapport du 8 octobre 2020. Les troubles précités n’entraînent manifestement pas d’incapacité de travail durable. Le recourant fait valoir que le Dr J.________ envisageait de considérer ses problèmes de sommeil comme incapacitants. Tel n’est toutefois pas le cas dans le rapport de ce médecin figurant au dossier. Les experts ont néanmoins tenu compte de la fatigue présentée par le recourant dans leur appréciation. Le recourant considère que les experts n’ont pas suffisamment tenu compte de ses problèmes cognitifs ni de son ralentissement psychomoteur, pour lesquels il avait évoqué des exemples et montré des photos qu’il qualifie de « parlantes ». Il ressort de l’expertise psychiatrique que la Dre D.________ a bien pris note des plaintes du recourant en lien avec ses fonctions cognitives et également avec les autres domaines, lesquelles ont été retranscrites dans l’anamnèse psychiatrique systématique (expertise p. 26). Les exemples donnés par le recourant, de même que les photos qu’il a apportées pouvaient tout au plus démontrer la réalité de ses plaintes, mais n’étaient pas à même de remplacer l’appréciation de l’experte sur la situation d’un point de vue médical. La Dre D.________ a en effet fait ses propres observations au cours de l’examen, indiquant qu’elle ne notait aucun trouble de la mémoire sémantique ou épisodique, ni manque de mots, ni troubles de la concentration visible, ni ralentissement psychomoteur (expertise p. 28). Enfin, elle a retranscrit les résultats des derniers examens neuropsychologiques effectués, qui mettaient en évidence un trouble léger (expertise pp. 29-30). L’experte a pris en compte l’influence des troubles</w:t>
      </w:r>
    </w:p>
    <w:p>
      <w:r>
        <w:t>- 23 - cognitifs et de la fatigue du recourant sur ses capacités (expertise p. 30, 32 et 34), de même que ses plaintes relatives à l’impact de ses troubles sur sa vie sociale et sa personnalité (expertise pp. 26-27). Le fait que l’assuré ait dû renoncer à une partie de ses activités sociales a été pris en considération par les experts, parmi les autres éléments déterminants pour apprécier sa capacité de travail. Il importe peu que ce soient les troubles de l’attention et de la mémoire qui seraient à l’origine de la dépression et non l’inverse, comme le soutient le recourant. L’ensemble de ces éléments a été pris en compte par les experts dans leur examen. Le recourant ne produit aucun document propre à remettre en cause l’appréciation des experts. Le seul rapport qu’il a transmis à la suite de l’expertise est le rapport de la polysomnographie du 22 juin 2023, qui était connu des experts (expertise p. 19). cc) Le recourant relève plusieurs incohérences et inexactitudes dans le rapport d’expertise. Il allègue notamment qu’il n’est pas propriétaire d’un appartement près de [...], mais qu’il loue un petit studio chaque année dans la région. Il ne s’agit pas là d’un élément déterminant susceptible de mettre en cause les conclusions des experts, lesquels se sont prononcés en tenant notamment compte de la situation sociale et financière globale du recourant, éléments qui participent à déterminer les ressources dont il dispose et à apprécier l’impact de ses problèmes médicaux sur sa vie professionnelle et quotidienne, comme le requiert la jurisprudence (cf. consid. 4j supra). De ce point de vue, on peut noter que le recourant dispose des ressources suffisantes pour partir au moins une fois par année en vacances. Il est sans importance que le Dr S.________ ait quantifié le travail exigible de la part du recourant par rapport à une journée de travail de 8h25 et non de 8h18, selon l’horaire applicable chez son employeur. La capacité de travail sur le plan somatique reste en tous les cas de 100 %. En outre, les experts ont relevé que les rapports de travail du recourant</w:t>
      </w:r>
    </w:p>
    <w:p>
      <w:r>
        <w:t>- 24 - s’étaient dégradés (expertise p. 25) et ont bien compris qu’il travaillait auparavant comme [...] chef et non chef de [...], malgré l’indication équivoque figurant dans le profil d’exigences pour l’activité habituelle (expertise p. 3). Il y a effectivement une petite inexactitude concernant les rapports du Dr Y.________ des 9 janvier 2023 et 26 avril 2023 auxquels il est fait référence dans l’expertise (p. 3) puisqu’il s’agit en réalité du rapport du Dr Y.________ du 26 décembre 2022 (expertise p. 50) et du rapport de la Dre L.________ du 8 mars 2023 (expertise p. 52). Les dates erronées proviennent de l’avis du SMR du 8 juin 2023 (ibidem), lequel s’est référé aux dates auxquelles ces rapports ont été introduits dans le système de gestion électronique des documents. Cette erreur reste sans influence sur le résultat de l’expertise. dd) Contrairement à ce que soutient le recourant, l’OAI pouvait se baser sur les conclusions de l’expertise sans devoir réinterroger ses médecins traitants, ni assister à la séance de réseau qui s’est tenue en août 2023, ou encore se renseigner auprès de son employeur. Dans le cadre de la procédure d’audition, le recourant n’a en effet fait valoir aucun élément médical nouveau qui aurait justifié un complément d’information auprès de ses médecins. L’OAI pouvait se baser sur les conclusions convaincantes des experts, qui consistent en une appréciation objective de la capacité de travail raisonnablement exigible de la part du recourant et peuvent, de ce fait, diverger de l’ampleur du travail qu’il réalisait effectivement et qui a été discutée au sein de la séance de réseau. En ce qui concerne la réaction qu’aurait eu son psychiatre traitant face au changement thérapeutique suggéré par l’experte psychiatre, celle-ci n’a non seulement pas été établie, mais demeure en tous les cas sans incidence puisque la capacité de travail fixée par l’experte ne dépendait pas d’un changement de médication. On peine à comprendre que le recourant reproche à l’expertise de ne pas mentionner les rapports du médecin-conseil de son employeur,</w:t>
      </w:r>
    </w:p>
    <w:p>
      <w:r>
        <w:t>- 25 - alors même qu’il les a vivement contestés. Ces rapports ne figurent effectivement pas au dossier, sans qu’il n’apparaisse nécessaire de les requérir puisque la situation médicale a pu être suffisamment établie. Finalement, les critiques du recourant à l’encontre des qualifications du Dr [...] sont sans pertinence dans la mesure où aucun rapport de ce praticien ne figure au dossier. ee) Le recourant remet en cause l’indépendance et l’impartialité des experts, mais sans avancer de motifs concrets à l’appui de ce grief. Le seul fait qu’un expert ou une institution sont régulièrement mandatés par un organe de l’assurance sociale, le nombre de mandats confiés, ainsi que l'étendue des honoraires en résultant ne constituent pas à eux seuls des motifs suffisants pour conclure au manque d'objectivité et à la partialité de l'expert ou de l’institution (ATF 148 V 225 consid. 3.5 ; 137 V 210 consid. 1.3.3). Aucun élément du rapport d’expertise ou du dossier ne laisse entrevoir un problème à ce niveau-là. Il apparaît au contraire que les experts se sont prononcés de manière motivée et détaillée en tenant compte de l’ensemble de la situation. S’agissant de la durée des entretiens avec les experts, de respectivement 1h10 et 1h30, celle-ci n’apparaît pas inhabituelle et ne saurait en tous les cas être déterminante à elle seule. De jurisprudence constante, le Tribunal fédéral considère qu’un entretien de courte durée entre l’expert et l’expertisé n’exclut pas une étude fouillée et complète du cas (TF 9C_550/2014 du 3 février 2015 consid. 4.3.3 ; TF I 533/06 du 23 mai 2007 consid. 5.6). Or, comme mentionné ci-dessus, l’expertise du C.________ peut se voir reconnaître une pleine valeur probante. e) Il résulte de ce qui précède que l’OAI pouvait légitimement se fonder sur les conclusions de l’expertise du C.________ et retenir que la capacité de travail médicalement exigible de la part du recourant dans son activité d’[...] était de 60 % dès février 2021, puis de 50 % dès novembre 2022.</w:t>
      </w:r>
    </w:p>
    <w:p>
      <w:r>
        <w:t>- 26 - Contrairement à ce que laisse entendre le recourant, l’OAI n’a pas exigé de lui qu’il quitte son poste d’[...] pour exercer un nouvel emploi, mais a, au contraire, constaté que cette activité était adaptée à ses limitations fonctionnelles et a donc procédé au calcul du degré d’invalidité en lien avec cette activité.</w:t>
      </w:r>
    </w:p>
    <w:p>
      <w:r>
        <w:rPr>
          <w:b/>
        </w:rPr>
        <w:t>E. 7</w:t>
      </w:r>
    </w:p>
    <w:p>
      <w:r>
        <w:t>a) L’OAI a fixé le revenu sans invalidité du recourant sur la base du salaire qu’il touchait comme [...] chef, à savoir 108'481 fr. en 2021 selon le rapport de l’employeur du 16 mars 2021. A noter que la différence avec le montant ressortant du certificat de salaire qu’il a produit pour l’année 2020 (117'121 fr.) correspond aux allocations familiales qu’il a touchées (8'640 francs). Il ressort de l’avenant au contrat signé le 12 mars 2021 que le salaire fixé pour le poste d’[...] était de 99'547 fr. pour l’équivalent d’un plein temps. Compte tenu d’une capacité de travail de 60 % dans un tel poste à partir de février 2021, le revenu d’invalide du recourant a été à juste titre fixé à 59'740 fr. pour 2021, année d’ouverture du droit à la rente. Le degré d’invalidité du recourant en 2021 se montait dès lors à 44,93 %, qu’il convient d’arrondir à 45 %. Comme déjà mentionné ci- dessus (consid. 3), il y a lieu d’appliquer l’ancien droit pour la naissance du droit à la rente du recourant. En application de l’art. 28 al. 2 LAI, dans sa teneur en vigueur jusqu’au 31 décembre 2021, le degré d’invalidité de 45 % du recourant lui donne droit à un quart de rente. b) Le droit à la rente ne prend naissance qu’à l’issue du délai de carence d’une année de l’art. 28 al. 1 let. b LAI et qu’après l’écoulement d’un délai de six mois à compter du dépôt de la demande de prestations, en application de l’art. 29 LAI. Dès lors, une personne assurée peut se voir reconnaître le droit à une rente d’invalidité au plus tôt une année après le début de la longue incapacité de travail, pour autant que sa demande de prestations ait été déposée dans les six mois qui suivent ce début. En l’occurrence, le recourant s’est retrouvé en incapacité de travail totale puis partielle à partir du 5 juin 2020. Compte tenu du délai de carence d’une année, il aurait théoriquement pu percevoir un droit à la</w:t>
      </w:r>
    </w:p>
    <w:p>
      <w:r>
        <w:t>- 27 - rente dès le 1er juin 2021. Or, il se trouve qu’il n’a pas déposé sa demande de prestations dans les six mois qui ont suivi le début de son incapacité de travail (soit au plus tard le 31 décembre 2021), mais qu’il ne l’a transmise à l’OAI que le 24 février 2021. C’est dans ce contexte que sa demande a été jugée « tardive » car son droit à la rente ne peut prendre naissance qu’à partir du 1er août 2021, étant donné le délai de six mois de l’art. 29 al. 1 LAI. Pour le reste, il n’est pas contesté que le recourant a toujours répondu dans les délais et qu’il a suivi le processus d’évaluation mis en place. c) A la suite de l’aggravation de son état de santé, la capacité de travail du recourant n’était plus que de 50 % depuis novembre 2022, ce qui conduit à un nouveau calcul de son revenu d’invalide pour l’année 2023, compte tenu du délai de trois mois de l’art. 88a al. 2 RAI avant le changement du droit à la rente. L’OAI a ainsi tenu compte de l’indexation jusqu’en 2023, et a fixé le revenu sans invalidité du recourant à 110'442 fr. 44 et celui d’invalide à 50'683 fr. 63, montants qui peuvent être confirmés. Le degré d’invalidité du recourant en 2023 est par conséquent de 54 %. En application des nouvelles dispositions relatives au système de rente linéaire, le recourant a dès lors droit à une rente d’invalidité de 54 % à compter du 1er février 2023. Il faut constater que c’est de manière erronée que l’OAI parle d’un droit à une demi-rente d’invalidité à compter du 1er février 2023 dans la motivation de sa décision, dans la mesure où le nouveau droit est applicable à cette révision. Cette inexactitude n’a cependant pas eu de conséquence, puisque c’est effectivement une rente de 54 % d’une rente entière qui a été octroyée à l’assuré à partir du 1er février 2023. d) Dans ses écritures, le recourant communique qu’il a accepté une nouvelle rétrogradation de poste. Il ressort cependant du bulletin de salaire du mois d’août 2024 qu’il a produit qu’il reste dans la même classe salariale et que son salaire pour l’équivalent d’un plein temps serait de 102'883 fr., soit au même niveau que celui touché en tant qu’[...], sur la base duquel les degrés d’invalidité ont été calculés.</w:t>
      </w:r>
    </w:p>
    <w:p>
      <w:r>
        <w:t>- 28 - Quant à la diminution de rente à compter de fin octobre 2024 qu’il déplore, elle est liée à la rente pour enfant qu’il touchait et qui prend fin une fois que son fils cadet a terminé ses études. Il n’y a rien d’étonnant à cela, dans la mesure où son fils ne sera alors légalement plus à sa charge.</w:t>
      </w:r>
    </w:p>
    <w:p>
      <w:r>
        <w:rPr>
          <w:b/>
        </w:rPr>
        <w:t>E. 8</w:t>
      </w:r>
    </w:p>
    <w:p>
      <w:r>
        <w:t>a) Le recours doit par conséquent être rejeté. b) La procédure de recours en matière de contestations portant sur des prestations de l’assurance-invalidité est soumise à des frais de justice (art. 69 al. 1bis LAI). Il convient de les fixer à 600 fr. et de les mettre à la charge de la partie recourante, vu le sort de ses conclusions. c) Il n’y a pas lieu d’allouer de dépens à la partie recourante, qui n’obtient pas gain de cause et a procédé sans mandataire qualifié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