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ZD24.026168 vom 14. August 2025</w:t>
      </w:r>
    </w:p>
    <w:p>
      <w:r>
        <w:t>VD Tribunal cantonal, 2025-08-14, FR</w:t>
      </w:r>
    </w:p>
    <w:p>
      <w:r>
        <w:rPr>
          <w:b/>
        </w:rPr>
        <w:t xml:space="preserve">Quelle: </w:t>
      </w:r>
      <w:r>
        <w:t>https://mcp.opencaselaw.ch/entscheid/vd_gerichte_ZD24.026168</w:t>
      </w:r>
    </w:p>
    <w:p>
      <w:r>
        <w:t>FR: VD_GERICHTE ZD24.026168 du 14 août 2025</w:t>
      </w:r>
    </w:p>
    <w:p>
      <w:r>
        <w:t>IT: VD_GERICHTE ZD24.026168 del 14 agosto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- 18 -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w:t>
      </w:r>
    </w:p>
    <w:p>
      <w:r>
        <w:t>- 19 -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4.3</w:t>
      </w:r>
    </w:p>
    <w:p>
      <w:r>
        <w:t>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4.3.1</w:t>
      </w:r>
    </w:p>
    <w:p>
      <w:r>
        <w:t>Status Status général : poids 78 kg taille 176 cm Pouls régulier à 76/ minute TA [tension artérielle] 100/78 mmHg Peau et phanères : normal Status cardiologique : auscultation cardiaque : B1 B2 réguliers, pas de souffle audible. Pas d’OMI [œdème des membres inférieurs], pouls périphériques palpés, bonne perfusion. Status pulmonaire : auscultation physiologique Status abdominal : souple et indolore</w:t>
      </w:r>
    </w:p>
    <w:p>
      <w:r>
        <w:rPr>
          <w:b/>
        </w:rPr>
        <w:t>E. 4.3.1.2</w:t>
      </w:r>
    </w:p>
    <w:p>
      <w:r>
        <w:t>et les références citées ; cf. également ATF 146 V 16 consid. 4.1). S’agissant des autres limitations fonctionnelles – éviter le travail de force de haute intensité, le travail de nuit avec alternance jour / nuit, favoriser activité simple et non stressante – il convient de constater qu’elles ont été prises en compte par l’intimé lors du choix de postes de travail raisonnablement exigibles (domaine industriel léger), dont l’éventail apparaît suffisamment large, et qu’elles ne justifient donc pas un abattement supplémentaire. Au surplus, les troubles mixtes des acquisitions scolaires n’ont pas été qualifiés d’incapacitants par l’expert psychiatre, respectivement par l’intimé, si bien que le recourant ne saurait en tirer un quelconque argument.</w:t>
      </w:r>
    </w:p>
    <w:p>
      <w:r>
        <w:t>- 34 - Le recourant n’élève au surplus aucune critique à l’encontre du calcul ayant abouti aux montants retenus à titre de revenu sans invalidité, soit 48’073 fr. 49, respectivement avec invalidité, à hauteur de 48'294 fr. 37, lesquels, vérifiés d’office, peuvent être confirmés. Partant, en l’absence de préjudice économique, l’OAI était légitimé à refuser au recourant le droit à une rente d’invalidité. On mentionnera au surplus que, même en procédant à un abattement de 15 % sur le revenu d’invalide retenu, le degré d’invalidité, qui s’élèverait alors à 14,6 % ([48'073 fr. 49 - 48'294 fr. 37 x 15 %] / 48'073 fr. 49), n’aboutirait toujours pas à la reconnaissance d’un droit à la rente.</w:t>
      </w:r>
    </w:p>
    <w:p>
      <w:r>
        <w:rPr>
          <w:b/>
        </w:rPr>
        <w:t>E. 4.3.2</w:t>
      </w:r>
    </w:p>
    <w:p>
      <w:r>
        <w:t>Examens complémentaires L’ECG [électrocardiogramme] (18.09.23) a montré un rythme sinusal, FC [fréquence cardiaque] 71/minute, axe à 10°, PR 0,134 sec, QRS 0,07 sec, QT 0,35 sec, absence de troubles de la repolarisation. L’echo[graphie] cardiaque transthoracique (18.09.23) a montré l’absence de valvulopathie significative, la fonction systolique du ventricule gauche est normale (fraction d’éjection (FE) entre 55 à 60 %), absence de dilatation des cavités cardiaque droites, pas d’épanchement péricardique.</w:t>
      </w:r>
    </w:p>
    <w:p>
      <w:r>
        <w:rPr>
          <w:b/>
        </w:rPr>
        <w:t>E. 4.3.3</w:t>
      </w:r>
    </w:p>
    <w:p>
      <w:r>
        <w:t>Radiologie La scintigraphie myocardique avec test d’effort du 3 octobre 2023 a été normale. Le patient a pu faire un test d’effort sur vélo allant à</w:t>
      </w:r>
    </w:p>
    <w:p>
      <w:r>
        <w:t>- 30 - 125 watts atteignant une FC de 123/minute et une TA 131/89 mmHg. Il n’y a pas eu d’arythmie lors de l’effort notamment de type extrasystoles supra-ou ventriculaire ou accès de fibrillation auriculaire. Les images scintigraphiques n’ont pas révélé d’ischémie myocardique, ni infarctus, la FE du ventricule gauche a été normale (62 %). » A cette suite, l’expert a retenu le diagnostic non incapacitant de fibrillation auriculaire (épisode en 2015) et extrasystole auriculaire sur cœur sain – au vu notamment de l’absence d’arythmie lors du test d’effort, respectivement d’ischémie myocardique lors de la scintigraphie myocardique –, qu’il a justifié comme suit (cf. ibidem, p. 26) : « […] Il existe un problème essentiellement d’ordre psychique qui interagit avec le cœur en créant des arythmies qui en général ont été la plupart du temps bénignes. […] Le principal diagnostic cardiologique à retenir est une arythmie supraventriculaire plutôt bénigne en absence de cardiopathie sous- jacente. Sur la base de l’entretien du jour, complété par les examens complémentaires, aucune pathologie cardiaque n’est mise en évidence. D’ailleurs, tous les examens réalisés par le cardiologue traitant vont dans ce sens. La présence d’ESA [extrasystoles auriculaires] ou ESSV [extrasystoles supraventriculaires] est très fréquente dans la population générale. Ceci est souvent lié au stress, excès de fatigue, insomnie. Les ESA n’amènent pas forcément à une FA [fibrillation auriculaire]. Ce patient a eu un seul épisode de FA paroxystique. On ne peut donc pas parler de risque de développer une fibrose de l’oreillette. Pour cela, la FA aurait dû être plus fréquente et de plus longue durée, voire devenir permanente. Et nous ne sommes pas du tout dans cette situation avec ce patient. Cette situation n’est donc pas compatible avec une limitation de la CT. » Il a ensuite communiqué son évaluation médicale du cas particulier en ces termes (cf. ibidem, p. 25-29) [sic] : « 6.1 Résumé de l’évolution personnelle et professionnelle et de la santé de l’assuré, y compris de sa situation psychique, sociale et médicale actuelle Depuis 2015 l’assuré a évolué avec le diagnostic de FA sur cœur sain et épisodes d’extrasystoles auriculaire[s] (supraventriculaires) (ESA). Du point de vue cardiologique, il a donc un cœur sain et ceci n’a pas changé depuis lors. Le problème est essentiellement lié à un stress en relation avec le lieu de travail. Ce stress engendre des épisodes de palpitations augmentant son angoisse et créant ainsi une sorte de cercle vicieux.</w:t>
      </w:r>
    </w:p>
    <w:p>
      <w:r>
        <w:t>- 31 - A noter surtout que cet assuré n’a pas présenté qu’un seul épisode de FA en 2015 dont la durée n’a pas pu être précisée.</w:t>
      </w:r>
    </w:p>
    <w:p>
      <w:r>
        <w:rPr>
          <w:b/>
        </w:rPr>
        <w:t>E. 5</w:t>
      </w:r>
    </w:p>
    <w:p>
      <w:r>
        <w:t>a) Les affections psychiques, les affections psychosomatiques et les syndromes de dépendance à des substances psychotropes doivent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w:t>
      </w:r>
    </w:p>
    <w:p>
      <w:r>
        <w:t>- 20 - soutien dont elle bénéficie dans son réseau social (ATF 141 V 281 consid.</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- 21 -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w:t>
      </w:r>
    </w:p>
    <w:p>
      <w:r>
        <w:t>- 22 -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6.2</w:t>
      </w:r>
    </w:p>
    <w:p>
      <w:r>
        <w:t>Évaluation de la cohérence et de la plausibilité En soi les arguments de l’assuré son cohérents et plausibles. Mais du point de vue cardiologique on n’est pas en présence d’une pathologie pouvant engendrer une incapacité de travail médicalement justifiée sur le plan cardiologique. Une recherche de bénéfice secondaire semble être présente dans le fait que la reconnaissance de ses palpitations l’écarte de son activité professionnelle stressante qui ne lui convient pas, au lieu de se confronter à ce problème, qui n’est donc pas d’ordre médical. 8.1 Capacité de travail dans l’activité exercée jusqu’ici […] Du point de cardiologique il n’y a pas de restriction À quel pourcentage évaluez-vous globalement la capacité de travail de la personne assurée dans cette activité, exprimé sur un 100% ? À 100%. […] Comment cette capacité de travail- a-t-elle évolué au fil du temps (début de l’IT, évolution de la CT, éventuellement date de l’aggravation) ? Il n’y a pas eu d’évolution, le patient étant bloqué sur son affection cardiaque qu’il considère subjectivement comme grave. Pas d’IT du point de vue cardiologique. […] » bb) On ne voit aucune raison objective de s’écarter de l’appréciation du Dr C.________, laquelle n’est sérieusement contredite par aucun avis spécialisé au dossier. L’expert a dûment tenu compte de tous les rapports pertinents précédant le jour de l’expertise et a exposé de façon convaincante pourquoi il ne retenait aucune atteinte incapacitante du point de vue cardiologique et pourquoi il évaluait comme faible le risque pour l’assuré de développer une maladie plus grave, comme une fibrose de l’oreillette, tel qu’évoqué par le cardiologue traitant dans son rapport du 14 mars 2022. Par ailleurs, contrairement à ce que soutient le recourant, l’évaluation de l’expert ne diverge pas sensiblement de celle exprimée par le cardiologue traitant, le Dr G.________, selon lequel l’assuré présentait une fibrillation auriculaire paroxystique sur cœur sain (Lone AF [fibrillation auriculaire isolée]), avec une fonction ventriculaire gauche</w:t>
      </w:r>
    </w:p>
    <w:p>
      <w:r>
        <w:t>- 32 - normale à l’échographie réalisée en 2017 et des sensations subjectives d’arythmie qui augmentaient à chaque exposition au stress avec toutefois un bon contrôle objectif des extrasystoles auriculaires sous traitement de bétabloquant (cf. rapport à l’OAI du 13 mars 2023). Le cardiologue faisait certes état d’une capacité de travail de 50 % (cf. rapport du 30 janvier 2023), sans toutefois poser de diagnostic différentiel ou de limitations fonctionnelles qui n’auraient pas été examinées par l’expert, respectivement le SMR. Il en va de même des rapports rédigés ultérieurement à l’expertise (cf. rapport du 8 mars 2024). Tout au plus, le Dr G.________ insiste sur la nécessité d’éviter le stress, laquelle a été prise en compte par l’intimé lorsqu’elle a défini les limitations fonctionnelles visant en particulier à éviter les horaires irréguliers ainsi que les activités induisant du stress. Il n’y a donc aucun élément fourni par le cardiologue traitant qui permettrait de douter des conclusions communiquées par le Dr C.________, lequel a, au demeurant, demandé la réalisation d’examens complémentaires. Il s’agit donc de se rallier à l’évaluation de l’expert, étant souligné ici aussi que le recourant ne s’est prévalu d’aucune pièce médicale nouvelle à cet égard au stade de la présente procédure. e) Au surplus, le SMR a considéré que les experts ne pouvaient pas être suivis dans leur appréciation selon laquelle le recourant était capable de travailler dans son activité habituelle d’aide de cuisine, afin de tenir compte du stress et du rythme fluctuant inhérents à cette activité. Dans ce contexte, la capacité de travail du recourant dans son activité habituelle devait être tenue pour nulle. On observera à cet égard que contrairement à ce que soutient le recourant, l’appréciation divergente exprimée par le SMR quant à sa capacité de travail dans son activité habituelle – qui lui est en définitive favorable en tant qu’une capacité de travail dans l’activité habituelle nulle est retenue – n’est en soi pas suffisante à remettre en cause la valeur probante des expertises ni, d’une autre manière, la crédibilité des experts. f) En définitive, l’intimé était fondé à se baser sur les expertises – probantes – du 4 juin 2021 du Dr J.________ et du 31 octobre 2023 du Dr C.________, ainsi que sur les avis du SMR pour retenir que le</w:t>
      </w:r>
    </w:p>
    <w:p>
      <w:r>
        <w:t>- 33 - recourant présente une capacité de travail de 100 % dans une activité adaptée à ses limitations fonctionnelles, en tenant compte d’une baisse de rendement de 30 %, et que l’état de santé du recourant ne s’est par conséquent pas modifié de manière significative depuis la décision du 12 décembre 2016. 8. Sur le plan économique, le recourant soutient qu’un abattement supplémentaire – sans toutefois le chiffrer – aurait dû être appliqué au revenu avec invalidité afin de prendre en compte les états paroxystiques pouvant survenir en cas de stress ainsi que les troubles mixtes des acquisitions scolaires. En l’occurrence, il sied de constater que les limitations fonctionnelles de l’assuré ont été prises en compte dans l’appréciation du rendement (baisse de 30 % opérée sur la capacité de travail entière retenue) pour tenir compte d’une lenteur dans l’exécution des tâches, d’une intolérance au stress et de la recherche d’un repli dans la zone de confort. La jurisprudence considère à cet égard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8C_122/2019 du 10 décembre 2019 consid.</w:t>
      </w:r>
    </w:p>
    <w:p>
      <w:r>
        <w:rPr>
          <w:b/>
        </w:rPr>
        <w:t>E. 9</w:t>
      </w:r>
    </w:p>
    <w:p>
      <w:r>
        <w:t>Bien que sa requête en ce sens ne fasse l’objet d’aucune conclusion formelle, le recourant demande – à tout le moins implicitement – la réalisation d’une expertise judiciaire en psychiatrie. Les pièces au dossier permettent à la Cour de céans de statuer sans qu’il apparaisse nécessaire de procéder à une expertise judiciaire. Une telle mesure ne serait en effet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w:t>
      </w:r>
    </w:p>
    <w:p>
      <w:r>
        <w:rPr>
          <w:b/>
        </w:rPr>
        <w:t>E. 10</w:t>
      </w:r>
    </w:p>
    <w:p>
      <w:r>
        <w:t>a) En définitive, le recours, mal fondé, doit être rejeté et la décision attaquée confirmée. b) La procédure de recours en matière de contestations portant sur l’octroi ou le refus de prestations de l’assurance-invalidité devant le tribunal cantonal des assurances est soumise à des frais de justice (art. 69 al. 1bis LAI). Il convient de les fixer à 600 fr. et de les mettre à la charge du recourant, vu le sort de ses conclusions. Toutefois, dès lors qu’il a obtenu, au titre de l’assistance judiciaire, l’exonération d’avances et des frais de justice, ces frais sont laissés provisoirement à la charge de l’Etat (art. 122 al. 1 let. b CPC [code de procédure civile du</w:t>
      </w:r>
    </w:p>
    <w:p>
      <w:r>
        <w:t>- 35 - 19 décembre 2008 ; RS 272], applicable par renvoi de l’art. 18 al. 5 LPA- VD). c) Il n’y a pas lieu d’allouer de dépens au recourant, qui n’obtient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 BLV 211.02.3]). En l’espèce, selon la liste des opérations communiquée le 6 mars 2025, Me Laurent Gilliard a chiffré à 6 heures et 55 minutes le temps consacré au dossier du recourant, ce qui entre globalement dans le cadre matériel et temporel de son mandat. Compte tenu d’un tarif horaire de 180 fr. (art. 2 al. 1, let. a et b, RAJ), auquel s'ajoutent un montant forfaitaire de débours par 5 %, à concurrence de 62 fr. 25, et la TVA au taux de 8,1 %, à hauteur de 105 fr. 90, il y a lieu de prendre en considération un total de 1'413 fr. 15 pour l’ensemble des activités déployées.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