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ZD24.025973 vom 27. Januar 2025</w:t>
      </w:r>
    </w:p>
    <w:p>
      <w:r>
        <w:t>VD Tribunal cantonal, 2025-01-27, FR</w:t>
      </w:r>
    </w:p>
    <w:p>
      <w:r>
        <w:rPr>
          <w:b/>
        </w:rPr>
        <w:t xml:space="preserve">Quelle: </w:t>
      </w:r>
      <w:r>
        <w:t>https://mcp.opencaselaw.ch/entscheid/vd_gerichte_ZD24.025973</w:t>
      </w:r>
    </w:p>
    <w:p>
      <w:r>
        <w:t>FR: VD_GERICHTE ZD24.025973 du 27 janvier 2025</w:t>
      </w:r>
    </w:p>
    <w:p>
      <w:r>
        <w:t>IT: VD_GERICHTE ZD24.025973 del 27 gennaio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- 19 -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- 20 -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w:t>
      </w:r>
    </w:p>
    <w:p>
      <w:r>
        <w:t>- 21 -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w:t>
      </w:r>
    </w:p>
    <w:p>
      <w:r>
        <w:t>- 22 - antérieure à cette date (ATF 99 V 98 consid. 4 ; TF 9C_34/2017 du 20 avril 2017 consid. 5.2).</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novembre 2022, mentionnant le diagnostic du TOS (cf. annexe 5 du rapport d’expertise intitulée « Synthèse du dossier », pp. 38 et ss). On observera ici que le Dr Z.________ n’a, pour sa part, pas posé le diagnostic du TOS dans son rapport du 5 mai 2021. Quant au problème de contracture musculaire, le recourant s’est référé au rapport du Dr G.________ du 15 septembre 2023, selon lequel aucun des experts n’avaient évalué la musculature cervicale, ni celle au niveau du tronc, alors qu’il s’agissait d’un facteur d’importance. En l’occurrence, les experts ont retenu un très léger syndrome cervical et un syndrome lombaire et rachidien. En outre, l’expert en neurologie a mentionné une nuque souple, en rotation à 80° des deux côtés, flexion- extension peu limitée, palpations interscapulaires et dorsale modérément sensibles (p. 14 du rapport d’expertise du 4 juillet 2023). L’examen clinique n’a mis en évidence que des atteintes dégénératives modérées cervicale et lombaire avec un bon maintien des amplitudes et sans aucun signe neurologique (p. 35 du rapport d’expertise du 4 juillet 2023). On notera, pour le surplus, que les experts W.________ et N.________ ont indiqué que le recourant avait pu rester assis sans changer de position</w:t>
      </w:r>
    </w:p>
    <w:p>
      <w:r>
        <w:t>- 27 - pendant plus d’une heure lors de la consultation, alors même que le Dr G.________ avait mentionné une réduction de force et d’endurance quant au maintien de positions assis ou debout (p. 9 et p. 21 du rapport d’expertise du 4 juillet 2023 et p. 3 du rapport du Dr G.________ du 15 septembre 2023). d) S’agissant du volet rhumatologique, le recourant a fait valoir que l’expert rhumatologue avait conclu au diagnostic de fibromyalgie, sans l’évaluer sur la base des critères actuels. Si l’expert N.________ semble en effet s’être basé sur d’anciens critères pour évaluer le diagnostic de fibromyalgie, il n’en demeure pas moins qu’il a effectivement retenu ce diagnostic. On ne voit dès lors pas ce que le recourant entendait contester en invoquant l’utilisation des anciens critères. Quant au Dr G.________, qui a soulevé le fait que ce diagnostic n’avait pas été posé selon les critères de Wolfe &amp; CO, il n’a cependant pas explicité en quoi cette manière d’évaluer le diagnostic de fibromyalgie avait un impact sur les limitations fonctionnelles et la capacité de travail du recourant (cf. p. 4 du rapport du 15 septembre 2023). On notera ici que les constatations faites par l’expert rhumatologue lors de son examen se rapprochent de celles mentionnées par le Dr G.________ dans son rapport du 7 novembre 2022. En effet, l’expert N.________ a constaté, concernant le rachis, une distance menton-sternum à 3 cm et une rotation du rachis cervical à 75° des deux côtés. Le Dr G.________ a, pour sa part, relevé une rotation droite-gauche 70-0-70° et une distance menton-sternum 2,5 cm- 20 cm. Pour les épaules, l’expert a constaté une rotation externe de 90° (cf. p. 33 du rapport d’expertise du 4 juillet 2023) et le Dr G.________ de 150-0-0°. L’expert a trouvé une flexion des coudes à 160° et une pronosupination normale et indolore. Le Dr G.________ a mentionné une flexion-extension 150-0-0° et une pronosupination 85-0-85°. Pour les hanches, l’expert a noté une rotation externe à 75°, une rotation interne à 30°, l’abduction à 75° et l’adduction à 30° (cf. p. 34 du rapport d’expertise du 4 juillet 2023). Le Dr G.________, quant à lui, a relevé une flexion- extension 110-0-110° des deux côtés et des abduction-adduction 45-0- 10°. Les constatations de l’expert rhumatologue ne sauraient dès lors être remises en cause, ce que le Dr G.________ n’a, au demeurant, pas fait, se</w:t>
      </w:r>
    </w:p>
    <w:p>
      <w:r>
        <w:t>- 28 - limitant à faire valoir l’absence de certains diagnostics et leur répercussion sur les limitations fonctionnelles et la capacité de travail du recourant. e) Le recourant a encore soulevé le fait que les experts n’avaient pas pris en compte leurs propres diagnostics par rapport à ses limitations fonctionnelles. aa) L’expert de médecine interne n’a posé aucun diagnostic incapacitant, retenant uniquement les diagnostics sans incidence sur la capacité de travail de surcharge pondérale et de syndrome d’hypopnées positionnel en décubitus dorsal, disparaissant en décubitus latéral avec absence de retentissement sur la saturation en oxygène. Il a, en outre, précisé qu’il n’y avait pas d’incohérence au niveau de la médecine interne générale vu que les problèmes internistes n’avaient pas d’incidence sur la capacité professionnelle du recourant et qu’il n’y avait pas de perte fonctionnelle, ni de limitation au niveau de la médecine interne générale (p. 10 du rapport d’expertise du 4 juillet 2023). Quant à l’expert en neurologie, il a indiqué qu’il n’y avait pas de diagnostic neurologique et que les troubles sensitifs à type de picotement et sensations d’aiguilles n’avaient pas de corrélation anatomique. Ainsi, il paraissait difficile d’établir, d’un point de vue strictement neurologique, une cohérence entre les plaintes de l’expertisé et une atteinte neurologique qui, au final, n’existait pas (p. 15 du rapport d’expertise du 4 juillet 2023). Les deux experts ont attesté une pleine capacité de travail tant dans l’activité habituelle que dans une activité adaptée et n’ont retenu aucune limitation fonctionnelle. bb) Seul l’expert rhumatologue a retenu des limitations fonctionnelles, à savoir pas d’effort de soulèvement au-delà de 5 kg à partir du sol, pas de porte-à-faux prolongés du buste, port de charges proche du corps limité à 10 kg, pas d’effort de préhension et de pronosupination forcé des deux mains et éviter les positions en abduction prolongée au-delà de la ligne des épaules et du membre supérieur droit (p. 4 du rapport d’expertise du 4 juillet 2023). Or il ne ressort pas des rapports des médecins traitants d’autres limitations fonctionnelles, qui</w:t>
      </w:r>
    </w:p>
    <w:p>
      <w:r>
        <w:t>- 29 - n’auraient pas été prises en compte par les experts. En effet, le Dr G.________ a indiqué, dans ses rapports des 7 novembre 2022 et 15 septembre 2023, les limitations fonctionnelles suivantes : un manque d’endurance global et en particulier du tronc et de la nuque (éviter le maintien prolongé de la position assis/debout et la position en porte-à-faux ou torsion du torse), éviter les mouvements répétitifs avec les membres supérieurs ainsi que l’absence d’activités au-dessus du niveau des épaules, les ports de charges au-delà d’env. 5 kg occasionnellement, les accroupissements, agenouillements, montées ou descentes de pentes ou d’escaliers fréquentes. Quant à la Dre D.________, elle a mentionné, dans son rapport du 2 décembre 2022, que toute activité au-dessus de la tête restait pénible pour le recourant ainsi que les activités impliquant le port de charges. Ces limitations ne divergent pas sensiblement de celles retenues par les experts du Centre M.________, respectivement par l’intimé dans sa décision du 13 mai 2024. L’expert rhumatologue a, en outre, précisé que les limitations du recourant étaient uniformes et peu cohérentes avec les diagnostics ne montrant que des atteintes dégénératives (pp. 35-36 du rapport d’expertise du 4 juillet 2023). A cet égard, on relèvera que la nature dégénérative de certaines atteintes a été mentionnée dans le rapport du 22 septembre 2021 du Dr Y.________, dans les avis SMR des 30 janvier 2023 et 13 mai 2024 ainsi que dans le rapport du Dr B.________ du 16 août 2024.</w:t>
      </w:r>
    </w:p>
    <w:p>
      <w:r>
        <w:rPr>
          <w:b/>
        </w:rPr>
        <w:t>E. 8</w:t>
      </w:r>
    </w:p>
    <w:p>
      <w:r>
        <w:t>Le recourant fait encore valoir que les conclusions des experts sont contredites par l’appréciation de plusieurs autres médecins. a) aa) Le recourant a adressé à l’OAI un rapport du 16 octobre 2023 des Dres V.________ et L.________, et du Dr B.________ du 9 novembre 2023. Le SMR a alors, par avis du 4 décembre 2023 de la Dre K.________, conclu que ces rapports laissaient suspecter des répercussions plus importantes sur les limitations fonctionnelles, voire sur la capacité de travail. L’OAI a dès lors prolongé l’instruction avant qu’une décision ne soit rendue. Dans ce cadre, le Prof. F.________ a transmis à l’OAI une copie d’un rapport du 6 décembre 2023, selon lequel une IRM de la colonne cervicale avait mis en évidence une cervicarthrose sans signe de myélopathie, une</w:t>
      </w:r>
    </w:p>
    <w:p>
      <w:r>
        <w:t>- 30 - uncodiscarthrose de C3-C4 à C6-C7 prédominant en C5-C6 et C6-C7 avec bombement disco ostéophytaire postérieur à ce niveau, un diamètre antéropostérieur du canal cervical mesuré serré à 7 mm à hauteur de l’espace intersomatique C6-C7 et une sténose foraminale bilatérale modérée C6-C7 sur bombement discal à droite et protrusion ostéophytaire sur arthrose à gauche. Le Dr B.________ a, le 16 avril 2024, répondu aux questions complémentaires posées par le SMR en mentionnant, comme limitations fonctionnelles, une limitation douloureuse lors de la mobilisation de la nuque et le port de charges. S’agissant de la capacité de travail, il a indiqué ne pas être en mesure de se prononcer et n’avoir pas attesté d’incapacité de travail. Il a également transmis un rapport du 15 janvier 2024 de la Dre E.________ mentionnant qu’elle n’avait pas d’arguments cliniques ou électrophysiologiques pour une neuropathie périphérique, pas plus que pour une plexopathie brachiale (notamment pour un syndrome du défilé thoracique/TOS) ou une radiculopathie cervicale. Ainsi, ces différents rapports n’apportent aucune nouvelle limitation fonctionnelle, ni aucun nouveau diagnostic, la Dre E.________ infirmant même celui de TOS. C’est ainsi à juste titre que le SMR a, dans son avis du 13 mai 2024, conclu qu’il n’y avait pas de modification des atteintes déjà prises en compte ou de nouvelle atteinte à la santé durablement incapacitante. bb) Dans le cadre de la procédure de recours, le recourant a produit un certain nombre de rapports. Ils ne lui sont toutefois d’aucun secours au recourant pour démontrer des limitations fonctionnelles plus étendues que celles retenues par les experts. En effet, dans son rapport du 5 juin 2024, le Dr G.________ n’a fait que reprendre les critiques formulées à l’encontre de l’expertise du Centre M.________ dans son rapport du 15 septembre 2023 et examinées ci-dessus. Il a ensuite fait part de commentaires sur la manière de mesurer la dimension invalidante du TOS neurogène et sur le mécanisme d’un tel diagnostic. Son appréciation, qui doit être prise en compte avec retenue au vu de l’existence du lien de confiance l’unissant à son patient, reste cependant purement théorique, puisqu’elle ne présente pas de nouvel élément clinique ou radiologique propre à remettre en cause l’absence de TOS</w:t>
      </w:r>
    </w:p>
    <w:p>
      <w:r>
        <w:t>- 31 - retenue par les experts et par la Dre E.________. En outre, le Dr G.________ ne s’est prononcé ni sur les limitations fonctionnelles, ni sur la capacité de travail du recourant. Le Dr G.________ ne s’est au demeurant prononcé qu’à deux reprises sur la capacité de travail du recourant. Dans son rapport du 7 novembre 2022, il a attesté une totale incapacité de travail du 1er janvier au 31 octobre 2021. Dans celui du 15 septembre 2023, il a attesté une capacité de travail de 50 % maximum dans une activité adaptée, en précisant que ce taux était à vérifier et à ajuster en situation. Ces deux rapports ne suffisent toutefois pas à mettre en doute les conclusions des experts. Par rapport du 11 juin 2024, la Dre R.________ a posé les diagnostics de cervico-brachialgies bilatérales sur hypertonie cervico- scapulaire, syndrome du défilé thoraco-brachial (TOS) neurogène bilatéral, plexopathie cervicale superficielle, tendinopathie des sus- et sous-épineux et possible épicondylite droite et tendinopathie des sous-épineux et petit rond gauche, de lombalgies intermittentes et de gonalgies bilatérales sur syndrome fémoro-patellaire, tendinopathies rotuliennes et de la bandelette ilio-tibiale des deux côtés. Il faut constater ici, à l’instar du SMR dans son avis du 8 juillet 2024, que ce rapport n’amène aucun nouveau diagnostic par rapport à ceux posés par les experts du Centre M.________. La Dre R.________ s’est en outre limitée, s’agissant de la capacité de travail, à se demander si l’intimé pouvait proposer au recourant des postes de travail adaptés ou une reconversion professionnelle, sans se déterminer sur le taux de capacité de travail retenu par les experts. Quant aux rapports du Dr G.________ des 25 mai et 1er décembre 2023, transmis par la Dre R.________, ils n’apportent également aucun élément nouveau, reprenant les mêmes diagnostics que ceux posés dans les rapports des 25 janvier 2019, 9 juin 2021, 18 février, 15 juin, 7 novembre 2022, 15 septembre 2023 et 5 juin 2024. S’agissant enfin du rapport du 15 août 2024 du Dr G.________ produit par le recourant à l’appui de sa réplique, il faut constater que ce médecin n’a fait que répéter les mêmes critiques à l’encontre de l’expertise du Centre M.________ et l’absence du diagnostic de TOS</w:t>
      </w:r>
    </w:p>
    <w:p>
      <w:r>
        <w:t>- 32 - neurogène. S’il a indiqué que le fait de ne pas reconnaître ce diagnostic invalidant avait de claires implications sur l’appréciation des limitations fonctionnelles et la capacité de travail, y compris dans une activité adaptée, il n’a en revanche pas motivé, ni détaillé ces implications. Quant au rapport du Dr B.________ du 16 août 2024, il n'amène aucun diagnostic nouveau, ni ne rapporte une quelconque aggravation de l’une des atteintes connues (cf. avis SMR du 12 septembre 2024), se contentant au demeurant d’exposer que la conclusion de la Dre E.________ pourrait être plus nuancée sans toutefois la remettre en cause. Le recourant n’a ainsi pas apporté d’éléments qui n’auraient pas été pris en compte dans le cadre de l’évaluation de sa capacité de travail et de ses limitations fonctionnelles par les experts. Aussi, l’appréciation des experts du Centre M.________ doit être confirmée. b) En définitive, l’OAI était fondé à se baser sur l’expertise probante du Centre M.________ du 4 juillet 2023 et les avis du SMR des 20 juillet 2023 et 13 mai 2024 pour retenir que le recourant présente une capacité de travail de 100 % dans une activité adaptée à ses limitations fonctionnelles d’ordre rhumatologique.</w:t>
      </w:r>
    </w:p>
    <w:p>
      <w:r>
        <w:rPr>
          <w:b/>
        </w:rPr>
        <w:t>E. 9</w:t>
      </w:r>
    </w:p>
    <w:p>
      <w:r>
        <w:t>Le recourant n’a émis aucun grief à l’encontre du calcul du degré d’invalidité opéré par l’intimé. Dans la mesure où le recourant n’a pas exercé d’activité lucrative depuis son arrivée en Suisse, il se justifiait de recourir au même chiffre de l’Enquête suisse sur la structure des salaires (ESS), tableau TA1_skill_level, niveau de qualification 1, pour les deux termes de la comparaison. Il convient toutefois de relever que l’intimé aurait dû utiliser l’ESS 2022, indexé à 2023, dès lors que la situation devait être examinée au moment déterminant de la naissance éventuelle du droit à la rente (cf. ATF 134 V 322 consid. 4.2 ; 129 V 222), soit en l’occurrence janvier 2023. Il n’en demeure pas moins que le calcul aurait abouti au même résultat qu’avec l’ESS 2018 adaptée à 2019, vu le parallélisme des revenus avec et sans invalidité.</w:t>
      </w:r>
    </w:p>
    <w:p>
      <w:r>
        <w:t>- 33 - Pour les droits à la rente nés entre le 1er janvier 2022 et le 31 décembre 2023, lorsque le revenu avec invalidité est déterminé sur la base de données statistiques, il faut également examiner la pertinence de l’application d’un éventuel abattement dû à l’atteinte à la santé conformément à la jurisprudence en vigueur avant le 1er janvier 2022 (TF 8C_823/2023 du 8 juillet 2024 consid. 10). En l’espèce, les limitations fonctionnelles retenues n’ayant pas donné lieu à une baisse de rendement, elles pourraient dès lors être prises en compte dans l’examen d’un éventuel abattement (cf. TF 8C_122/2019 du 10 septembre 2019 consid. 4.3.1.2 et les références citées). On constatera toutefois que, même en retenant un abattement de 5 ou 10 %, le degré d’invalidité, qui se confondrait alors avec l’abattement retenu, serait insuffisant pour ouvrir un droit aux prestations de l’assurance-invalidité.</w:t>
      </w:r>
    </w:p>
    <w:p>
      <w:r>
        <w:rPr>
          <w:b/>
        </w:rPr>
        <w:t>E. 10</w:t>
      </w:r>
    </w:p>
    <w:p>
      <w:r>
        <w:t>Les pièces médicales au dossier permettent à la Cour de céans de statuer, sans qu’il apparaisse nécessaire de mettre en œuvre une expertise judiciaire.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w:t>
      </w:r>
    </w:p>
    <w:p>
      <w:r>
        <w:rPr>
          <w:b/>
        </w:rPr>
        <w:t>E. 11</w:t>
      </w:r>
    </w:p>
    <w:p>
      <w:r>
        <w:t>a) En conclusion, le recours, mal fondé, doit être rejeté et la décision attaquée confirmée. b) La procédure de recours en matière de contestations portant sur des prestations de l’AI devant le tribunal cantonal des assurances est soumise à des frais judiciaires (art. 69 al. 1bis LAI). Il convient de les fixer à 600 fr. et de les mettre à la charge du recourant, vu l'issue du litige. Ils sont toutefois provisoirement laissés à la charge de l’Etat, vu la décision du 17 juin 2024 octroyant au recourant l’assistance judiciaire limitée aux frais de justice (art. 118 al. 1 let. b et 122 al. 1 let. b CPC [Code de procédure civile du 19 décembre 2008 ; RS 272], applicable par renvoi de l'art. 18 al. 5 LPA‑VD).</w:t>
      </w:r>
    </w:p>
    <w:p>
      <w:r>
        <w:t>- 34 - c) Il n'y a pas lieu d'allouer des dépens à la partie recourante, qui n'obtient pas gain de cause (art 61 let. g LPGA). d) Le recourant est rendu attentif au fait qu’il devra rembourser les frais provisoirement pris en charge par l’Etat dès qu’il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