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ZD24.024723 vom 5. November 2024</w:t>
      </w:r>
    </w:p>
    <w:p>
      <w:r>
        <w:t>VD Tribunal cantonal, 2024-11-05, FR</w:t>
      </w:r>
    </w:p>
    <w:p>
      <w:r>
        <w:rPr>
          <w:b/>
        </w:rPr>
        <w:t xml:space="preserve">Quelle: </w:t>
      </w:r>
      <w:r>
        <w:t>https://mcp.opencaselaw.ch/entscheid/vd_gerichte_ZD24.024723</w:t>
      </w:r>
    </w:p>
    <w:p>
      <w:r>
        <w:t>FR: VD_GERICHTE ZD24.024723 du 5 novembre 2024</w:t>
      </w:r>
    </w:p>
    <w:p>
      <w:r>
        <w:t>IT: VD_GERICHTE ZD24.024723 del 5 novembre 2024</w:t>
      </w:r>
    </w:p>
    <w:p>
      <w:pPr>
        <w:pStyle w:val="Heading2"/>
      </w:pPr>
      <w:r>
        <w:t>Erwägungen</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w:t>
      </w:r>
    </w:p>
    <w:p>
      <w:r>
        <w:t>- 11 -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1ère phrase). b)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Conformément à cette délégation, le DFI a édicté l’OMAI.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La Circulaire concernant la remise des moyens auxiliaires par l’assurance-invalidité (CMAI), édictée par l’Office fédéral des assurances sociales, dans sa teneur en vigueur dès le 1er janvier 2024, rappelle que l’assurance fournit des moyens auxiliaires simples, adéquats et économiques. Seuls entrent en considération des moyens auxiliaires présentant un rapport qualité-prix optimal. L’assuré n’a pas droit à l’équipement qui serait optimal dans son cas particulier (cf. arrêt du TF 9C_640/2015 du 6 juillet 2016). c) Les critères de simplicité et d'adéquation ressortant notamment de l'art. 21 al. 3 LAI sont l'expression du principe de la proportionnalité et supposent, d'une part, que la prestation en cause est propre à atteindre le but fixé par la loi et apparaît nécessaire et suffisante</w:t>
      </w:r>
    </w:p>
    <w:p>
      <w:r>
        <w:t>- 12 - à cette fin et, d'autre part, qu'il existe un rapport raisonnable entre le coût et l'utilité du moyen auxiliaire, compte tenu de l'ensemble des circonstances de fait et de droit du cas particulier (ATF 141 V 30 consid. 3.2.1 ; 135 I 161 consid. 5.1).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w:t>
      </w:r>
    </w:p>
    <w:p>
      <w:r>
        <w:rPr>
          <w:b/>
        </w:rPr>
        <w:t>E. 4</w:t>
      </w:r>
    </w:p>
    <w:p>
      <w:r>
        <w:t>a) En l'occurrence, l'intimé a, par communication du 16 mai 2024, pris en charge à titre de moyen auxiliaire une chaise percée avec sa planche de transfert incurvée afin que l'assurée puisse réaliser ses transferts assis-assis de son lit électrique à la chaise percée et, ainsi, uriner et se recoucher en toute autonomie durant la nuit. Selon le courrier du 16 avril 2024 de l'ergothérapeute et de l'assurée, cette dernière réalisait ces transferts sans difficultés 95 % du temps. Il arrivait toutefois « très rarement » que la recourante reste bloquée sur sa chaise percée la nuit, en raison de fatigue, de crampes ou de diarrhées, et ne parvienne pas à faire le transfert retour vers son lit. Dans un tel cas, elle appuyait sur sa téléalarme et demandait de l'aide au CMS. Les soignants utilisaient alors un verticalisateur pour l'aider à se recoucher. La recourante a donc requis la prise en charge d'un verticalisateur en faisant valoir qu'il s'agissait du moyen le plus simple et adéquat pour sa sécurité et celle du personnel du CMS. b) Le verticalisateur requis par l'intéressée entre certes dans la catégorie des élévateurs pour malades figurant au chiffre 14.02 de l'annexe à l'OMAI et paraît propre à atteindre le but fixé par la loi. S'agissant en revanche du rapport raisonnable entre le coût et l'utilité du moyen auxiliaire, force est de constater que l'emploi du verticalisateur ne respecte pas le critère de l'importance et de la régularité d'utilisation requis par la jurisprudence (cf. consid. 3b et c supra). Au moment où la décision litigieuse a été rendue en effet, l'assurée admet elle-même qu'elle n'avait besoin que très rarement que les employés du CMS</w:t>
      </w:r>
    </w:p>
    <w:p>
      <w:r>
        <w:t>- 13 - viennent l'aider avec un verticalisateur durant la nuit et que la grande majorité des transferts de sa chaise percée à son lit étaient réalisés de manière autonome grâce à la planche de transfert (à 95 %). On relèvera au surplus que l'intimé a, le 25 avril 2023, pris en charge un guidon de transfert, entrant également dans la catégorie des élévateurs pour malades, devant permettre à la recourante d'effectuer en toute autonomie ses divers transferts entre son fauteuil roulant manuel et son fauteuil roulant électrique. L'on peut ainsi tout à fait exiger, pour les rares occasions durant lesquelles l'intéressée ne parvient pas à regagner son lit seule, que le personnel du CMS déplace le guidon de transfert de l'entrée de l'appartement à la chambre et aide la recourante à se verticaliser grâce à ce moyen, puis à remettre son pants et son pantalon avant de la recoucher. Ce moyen n'apparaît certes pas optimal, un verticalisateur permettant, grâce à sa sangle située sous les aisselles, de se verticaliser et de revêtir les habits de nuit plus facilement. Comme exposé ci-dessus, l'assurance-invalidité n'a cependant pas pour but de fournir aux assurés un équipement optimal, mais des moyens auxiliaires simples, adéquats et économiques. Par ailleurs, l'argument de la recourante selon lequel un tel déplacement par les soignants du guidon de transfert à travers son appartement entraînerait une nuisance sonore importante n'est pas pertinent du point de vue de l'assurance-invalidité. Enfin, il est évident que le personnel du CMS a pour tâche d'aider les personnes malades à se verticaliser grâce au guidon de transfert, en les soutenant si nécessaire.</w:t>
      </w:r>
    </w:p>
    <w:p>
      <w:r>
        <w:rPr>
          <w:b/>
        </w:rPr>
        <w:t>E. 5</w:t>
      </w:r>
    </w:p>
    <w:p>
      <w:r>
        <w:t>a) Compte tenu de ce qui précède, le recours s’avère mal fondé et la décision attaquée du 16 mai 2024 doit être confirmée. b) La procédure de recours en matière de contestations portant sur des prestations de l’assurance-invalidité est soumise à des frais de justice (art. 69 al. 1bis LAI). Il convient de les fixer à 200 fr. et de les mettre à la charge de la partie recourante, vu le sort de ses conclusions.</w:t>
      </w:r>
    </w:p>
    <w:p>
      <w:r>
        <w:t>- 14 - Il n’y a pas lieu d’allouer de dépens à la partie recourante, qui n’obtient pas gain de cause et a procédé sans mandataire qualifié (art. 61 let. g LPGA ; ATF 127 V 205 consid. 4b). Par ces motifs, la juge unique p r o n o n c e : I. Le recours est rejeté. II. La décision rendue le 16 mai 2024 par l'Office de l'assurance- invalidité pour le canton de Vaud est confirmée. III. Les frais judiciaires, arrêtés à 200 fr. (deux cents francs), sont mis à la charge de D.________. IV. Il n'est pas alloué de dépens. La juge unique : La greffière : Du L'arrêt qui précède est notifié à : - D.________,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