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ZD24.023143 vom 7. März 2025</w:t>
      </w:r>
    </w:p>
    <w:p>
      <w:r>
        <w:t>VD Tribunal cantonal, 2025-03-07, FR</w:t>
      </w:r>
    </w:p>
    <w:p>
      <w:r>
        <w:rPr>
          <w:b/>
        </w:rPr>
        <w:t xml:space="preserve">Quelle: </w:t>
      </w:r>
      <w:r>
        <w:t>https://mcp.opencaselaw.ch/entscheid/vd_gerichte_ZD24.023143</w:t>
      </w:r>
    </w:p>
    <w:p>
      <w:r>
        <w:t>FR: VD_GERICHTE ZD24.023143 du 7 mars 2025</w:t>
      </w:r>
    </w:p>
    <w:p>
      <w:r>
        <w:t>IT: VD_GERICHTE ZD24.023143 del 7 marzo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w:t>
      </w:r>
    </w:p>
    <w:p>
      <w:r>
        <w:t>- 17 -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- 18 - résistance à un traitement conduit dans les règles de l’art (ATF 141 V 281 consid. 4.3 et 4.4).</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- 19 -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7</w:t>
      </w:r>
    </w:p>
    <w:p>
      <w:r>
        <w:t>a) En l’espèce, dans la décision attaquée, l’OAI a refusé de prester en faveur du recourant, dans la mesure où son préjudice économique s’élevait à 5 %. Cette décision se base sur les conclusions du rapport d’expertise pluridisciplinaire du 25 avril 2023 du L.________, avec volets en psychiatrie, en orthopédie et en médecine interne générale. Les experts ont retenu que le recourant disposait d’une capacité de travail nulle dans son activité habituelle depuis le 1er août 2018, mais d’une capacité de travail entière dans une activité adaptée depuis toujours. Les limitations fonctionnelles retenues étaient les suivantes : travail répétitif, sans prise de décision immédiate, sans traitement simultané d’informations multiples, pas de travail avec des produits volatiles ou irritants, pas de travail lourd, pas de travail à l’extérieur avec exposition à de fortes chaleurs ou au froid, port de charges limité à cinq kilos. Le recourant conteste la valeur probante de l’expertise, en particulier de son</w:t>
      </w:r>
    </w:p>
    <w:p>
      <w:r>
        <w:t>- 20 - volet psychiatrique. D’après lui, les troubles psychiatriques dont il souffre l’empêchent de travailler à plein temps. b) Il convient de donner raison au recourant. En effet, l’expertise ne remplit pas les réquisits exigibles d’une évaluation pluridisciplinaire de ce niveau. Un véritable consilium du cas du recourant fait manifestement défaut, dans la mesure où l’appréciation prétendument consensuelle des experts consiste en une reprise littérale de divers passages des rapports établis spécifiquement par chacun des spécialistes consultés. Aucune discussion, ni évaluation globale de la situation du recourant ne figure dans cette appréciation, de sorte que les éléments pertinents doivent être recherchés dans les rapports rédigés séparément par chacun des spécialistes dans son domaine de compétence. Ce procédé ne correspond clairement pas aux exigences d’une mission expertale dans un contexte pluridisciplinaire. S’agissant plus particulièrement du volet psychiatrique, celui-ci ne respecte pas non plus les critères jurisprudentiels pour se voir accorder une pleine valeur probante. L’expert ne discute pas sérieusement les diagnostics retenus par la psychiatre traitante. Ainsi, celle-ci indique que le sommeil du recourant est perturbé avec des cauchemars et des reviviscences répétées des événements de guerre devenant envahissants et traumatiques et, sur la base de ces faits, retient le diagnostic d’état de stress post traumatique (rapports des 26 octobre 2020, 29 janvier 2021 et 27 janvier 2022 de la Dre A.__________). L’expert, quant à lui, indique que le recourant n’a pas trop été touché par la guerre et qu’il ne rapporte pas de cauchemars précis ni de flashs diurnes, pour exclure le diagnostic d’état de stress post traumatique (rapport d’expertise, p. 11), alors qu’il relève plus haut qu’avant la guerre, le recourant s’était réfugié avec sa famille dans le nord de la Bosnie et voyait, durant la guerre, presque chaque jour, des morts et des blessés, sa mère ayant également été blessée (rapport d’expertise, p. 7). Il est donc pour le moins contradictoire de constater que le recourant n’a pas été trop touché par la guerre alors qu’il la subissait au quotidien. Quoi qu’il en soit ce point aurait dû faire l’objet d’une instruction particulière par l’expert, ce que ce dernier n’a pas</w:t>
      </w:r>
    </w:p>
    <w:p>
      <w:r>
        <w:t>- 21 - fait, semblant s’être contenté des plaintes spontanées du recourant, alors qu’il relève lui-même que l’anamnèse est incomplète (rapport d’expertise, ch. 6.1 p. 10). En l’état, il n’est pas possible de comprendre pour quels motifs la psychiatre traitante aurait à tort retenu le diagnostic d’état de stress post traumatique. Il en va de même du diagnostic d’épisode dépressif moyen. Dans son rapport du 26 octobre 2020, la psychiatre traitante avait relevé une humeur triste, un sentiment de désespoir, un sentiment de culpabilité, une irritabilité et une difficulté à se projeter dans l’avenir. Dans son rapport, l’expert constate que le recourant arrive à sourire et ne présente pas de ralentissement psychomoteur pour exclure le diagnostic d’épisode dépressif (rapport d’expertise, p. 11), mais ne revient pas sur les éléments mis en évidence par la médecin traitante. Au contraire, l’expert relève une absence d’antécédent de dépression, alors qu’en 2020, la psychiatre traitante avait retenu ce diagnostic. En outre, il liste les ressources du recourant, mais n’en tire aucune conclusion utile quant au diagnostic retenu (rapport d’expertise, pp. 12-13). L’absence de valeur probante du volet psychiatrique de l’expertise est confirmée par le médecin du SMR. En effet, dans son avis du 2 mai 2023, il a indiqué qu’il ne comprenait pas comment l’expert aboutissait à une pleine capacité de travail dans une activité adaptée, compte tenu des éléments anamnestiques et cliniques qu’il avait mis en évidence. Or, dans son complément du 22 mai 2023, l’expert a pour l’essentiel repris des éléments de son précédent rapport sans ajout significatif, hormis quelques précisions quant aux raisons pour lesquelles il a exclu le diagnostic de trouble bipolaire, ajoutant que ce diagnostic ne pouvait pas totalement être écarté. Dans le rapport du 14 octobre 2024 du nouveau psychiatre traitant de l’assuré, le Dr G.________, il est fait état d’éléments objectivés rendant compte d’un état de stress post traumatique actif et évoque un trouble bipolaire de type II, ce que relève le médecin du SMR dans son avis du 5 novembre 2024, pour lequel un complément d’instruction s’impose dans ces circonstances. Il existe en conséquence des doutes sérieux quant au bien-fondé des conclusions de l’expert psychiatre qui ne sauraient se voir reconnaître une pleine valeur probante.</w:t>
      </w:r>
    </w:p>
    <w:p>
      <w:r>
        <w:t>- 22 - c) En ce qui concerne l’aggravation des atteintes pulmonaires du recourant exposées par le Dr J.________ dans son rapport du 12 octobre 2024, le médecin du SMR, dans son avis du 5 novembre 2024, estime également qu’elles nécessitent des investigations complémentaires. Par conséquent, on peut en déduire que cette aggravation peut avoir débuté avant que la décision attaquée ait été rendue. En conséquence, le dossier constitué par l’office intimé est également incomplet sur ce point.</w:t>
      </w:r>
    </w:p>
    <w:p>
      <w:r>
        <w:rPr>
          <w:b/>
        </w:rPr>
        <w:t>E. 8</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9C_259/2022 du 20 septembre 2022 consid. 5.1.1 et les références).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4ème éd., 2020, nos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w:t>
      </w:r>
    </w:p>
    <w:p>
      <w:r>
        <w:t>- 23 -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Le SMR a reconnu qu’il est nécessaire d’instruire l’aggravation de l’état de santé somatique du recourant, notamment s’agissant de l’aggravation des atteintes pulmonaires alléguées par son médecin traitant dans son rapport du 12 octobre 2024 et de compléter l’instruction quant à son état de santé psychique. Dans ce contexte, il fait sens de renvoyer la cause à l’OAI afin qu’il mette en œuvre une expertise médicale pluridisciplinaire du recourant, destinée à clarifier le tableau clinique global présenté par ce dernier depuis 2018. Une fois l’instruction complétée, il appartiendra à l’intimé de fixer le degré d’invalidité du recourant.</w:t>
      </w:r>
    </w:p>
    <w:p>
      <w:r>
        <w:rPr>
          <w:b/>
        </w:rPr>
        <w:t>E. 9</w:t>
      </w:r>
    </w:p>
    <w:p>
      <w:r>
        <w:t>a) Le recours doit dès lors être admis et la décision litigieuse annulée, la cause étant renvoyée à l’intimé pour instruction complémentaire dans le sens des considérants et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Aussi, compte tenu de l’importance et de la complexité du litige, il convient d’arrêter l’indemnité à 2’500 fr., débours et TVA compris, et de la mettre intégralement à la charge de l’intimé (art.</w:t>
      </w:r>
    </w:p>
    <w:p>
      <w:r>
        <w:rPr>
          <w:b/>
        </w:rPr>
        <w:t>E. 10</w:t>
      </w:r>
    </w:p>
    <w:p>
      <w:r>
        <w:t>et 11 TFJDA [tarif du 28 avril 2015 des frais judiciaires et des dépens en matière administrative ; BLV 173.36.5.1]).</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