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ZD24.023125 vom 10. Januar 2025</w:t>
      </w:r>
    </w:p>
    <w:p>
      <w:r>
        <w:t>VD Tribunal cantonal, 2025-01-10, FR</w:t>
      </w:r>
    </w:p>
    <w:p>
      <w:r>
        <w:rPr>
          <w:b/>
        </w:rPr>
        <w:t xml:space="preserve">Quelle: </w:t>
      </w:r>
      <w:r>
        <w:t>https://mcp.opencaselaw.ch/entscheid/vd_gerichte_ZD24.023125</w:t>
      </w:r>
    </w:p>
    <w:p>
      <w:r>
        <w:t>FR: VD_GERICHTE ZD24.023125 du 10 janvier 2025</w:t>
      </w:r>
    </w:p>
    <w:p>
      <w:r>
        <w:t>IT: VD_GERICHTE ZD24.023125 del 10 gennaio 2025</w:t>
      </w:r>
    </w:p>
    <w:p>
      <w:pPr>
        <w:pStyle w:val="Heading2"/>
      </w:pPr>
      <w:r>
        <w:t>Erwägungen</w:t>
      </w:r>
    </w:p>
    <w:p>
      <w:r>
        <w:rPr>
          <w:b/>
        </w:rPr>
        <w:t>E. 5</w:t>
      </w:r>
    </w:p>
    <w:p>
      <w:r>
        <w:t>a)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(MICHEL VALTERIO, Commentaire de la loi sur l’assurance-invalidité, Genève/Zurich/Bâle 2018, n. 2 ad art. 28a LAI). 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8 al. 3 LPGA et 28a al. 2 LAI). Par travaux habituels, il faut entendre l’activité usuelle dans le ménage, ainsi que les soins et l’assistance apportés aux proches (art. 27 al. 1 RAI).</w:t>
      </w:r>
    </w:p>
    <w:p>
      <w:r>
        <w:rPr>
          <w:b/>
        </w:rPr>
        <w:t>E. 5.2</w:t>
      </w:r>
    </w:p>
    <w:p>
      <w:r>
        <w:t>;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RAI (ATF 130 V 64 consid. 5.2.5). Lorsqu’elle est saisie d’une demande de révision,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w:t>
      </w:r>
    </w:p>
    <w:p>
      <w:r>
        <w:t>- 13 - allégations de la personne assurée que le laps de temps qui s’est écoulé depuis sa décision antérieure est bref (ATF 109 V 108 consid. 2b ; TF 9C_789/2012 du 27 juillet 2013 consid. 2.2).</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w:t>
      </w:r>
    </w:p>
    <w:p>
      <w:r>
        <w:t>- 14 -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t>- 15 -</w:t>
      </w:r>
    </w:p>
    <w:p>
      <w:r>
        <w:rPr>
          <w:b/>
        </w:rPr>
        <w:t>E. 7</w:t>
      </w:r>
    </w:p>
    <w:p>
      <w:r>
        <w:t>a) En l’occurrence, l’office intimé, s’il a rejeté la demande de révision de la rente déposée par la recourante le 19 octobre 2023, n’est, dans les faits, pas entré en matière sur ladite demande. Il n’y a donc pas lieu d’examiner si, entre la décision – entrée en force – des 16 mai 2023 et 13 juillet 2023 allouant à la recourante un quart de rente d’invalidité – dernière décision reposant sur un examen matériel du droit à la rente – et la décision litigieuse du 29 avril 2024, un changement important des circonstances propres à influencer le degré d’invalidité – et donc le droit à la rente – s’est produit. Il faut au contraire se limiter à examiner si la recourante, dans ses démarches auprès de l’office intimé jusqu’à la décision objet de la présente procédure, a établi de façon plausible que son invalidité s’était modifiée, en comparant les faits tels qu’ils se présentaient au moment de la décision de refus d’entrer en matière du 29 avril 2024 et les circonstances prévalant à l’époque de la décision des 16 mai 2023 et 13 juillet 2023. b) A titre liminaire, il convient de rappeler que l’office intimé ne conteste pas que la recourante présente une incapacité totale de travailler ainsi que d’importants empêchements dans l’accomplissement de ses tâches ménagères. L’office intimé a, compte tenu du fait que la recourante était une personne sans activité lucrative qui accomplissait ses travaux habituels, appliqué la méthode spécifique d’évaluation de l’invalidité et retenu que le degré d’empêchement dans l’accomplissement de ses travaux habituels – compte tenu de l’aide exigible des enfants – était de 44,7 %. c) A l’époque de la décision des 16 mai 2023 et 13 juillet 2023, le Dr F.________ du SMR avait, dans son avis du 16 décembre 2022, indiqué s’en remettre à l’appréciation pluridisciplinaire des experts de l’Unité d’expertises médicales d’E.__________. Dans leur rapport du 8 novembre 2022, les experts avaient posé les diagnostics de lombalgies chroniques avec discopathie L5-S1 et protrusion discale L5-S1, de cervicalgies chroniques, de plaie avec perte de substance face palmaire P2 D2 (zone 2) avec synéchies des fléchisseurs et raideurs interphalangienne proximale</w:t>
      </w:r>
    </w:p>
    <w:p>
      <w:r>
        <w:t>- 16 - et interphalangienne distale séquellaires, d’épisode dépressif d’intensité sévère, et de syndrome somatoforme douloureux persistant. Ils avaient retenu une capacité de travail nulle depuis janvier 2019 en raison de la morsure au doigt puis pour des motifs psychiatriques depuis avril 2019. Concernant les activités ménagères, les experts avaient précisé que la recourante ne devait pas porter de charges avec sa main droite et qu’elle était dans l’impossibilité d’effectuer des gestes nécessitant une dextérité ou une force digitale, comme couper des légumes ou de la viande ou bien des travaux de couture ; à l’inverse, elle pouvait saisir les objets (aspirateur, fer à repasser) et préparer à manger (sans couper) sans solliciter son index droit. Les seules entraves au ménage étaient donc la découpe des aliments, la couture ou le tricot, ainsi que les travaux lourds. L’état d’effondrement attesté par la psychiatre traitante depuis avril 2019 entravait toutes les sphères d’activités, dont la participation aux travaux ménagers, et était à l’origine d’un isolement social complet. Globalement, les experts avaient retenu que les troubles fonctionnels avancés dans l’enquête ménagère réalisée le 16 janvier 2020 étaient plausibles sur le plan médical et que la recourante était très limitée dans l’accomplissement de ses travaux ménagers. d) A l’appui de sa demande de révision de rente du 19 octobre 2023, la recourante a fait verser au dossier des rapports de ses médecins traitantes. A cet égard, les rapports des 17 octobre 2023 et 22 février 2024 de la Dre K.________ n’apparaissent pas déterminants dès lors qu’ils ne contiennent aucun élément qui attesterait une évolution défavorable en regard de la situation qui prévalait au moment où la décision d’octroi du quart de rente a été établie. Cette médecin souligne l’existence d’importantes dorsalgies et cervicalgies de nature dégénérative dont elle soutient qu’elles se sont aggravées en raison d’un déconditionnement physique lié à une sarcoïdose pulmonaire avec dyspnée, situation à laquelle s’ajoute un état dépressif sévère traité par plusieurs psychotropes et un suivi régulier par la Dre Z.________. Or les experts de l’Unité d’expertises médicales d’E.__________ avaient connaissance aussi bien des</w:t>
      </w:r>
    </w:p>
    <w:p>
      <w:r>
        <w:t>- 17 - atteintes somatiques, existantes de longue date, que de l’épisode dépressif d’intensité sévère, traité depuis avril 2019. Dans ses rapports successifs, la Dre Z.________ pose les diagnostics de trouble dépressif récurrent sévère, de syndrome somatoforme douloureux et de possible modification durable de la personnalité chez sa patiente. Elle ne rapporte aucun élément médical objectif nouveau et retient toujours une incapacité totale de travailler de sa patiente, ce qui n’est pas contesté. Force est de constater que la situation n’a pas sensiblement évolué sur le plan médical, l’état de santé de la recourante justifiant, quoi qu’il en soit, toujours une incapacité totale de travailler. e) Par ailleurs, il ne ressort des pièces produites aucun élément – qu’il soit de nature médicale ou de nature économique – qui justifierait de procéder à une nouvelle évaluation économique sur le ménage. En particulier, il n’est pas fait état de modification dans la structure familiale qui justifierait de procéder à une nouvelle appréciation de l’aide exigible des enfants. f) Aussi, c’est de manière conforme au droit fédéral que l’office intimé n’est, dans les faits, pas entré en matière sur la demande de révision de la rente déposée par la recourante le 19 octobre 2023.</w:t>
      </w:r>
    </w:p>
    <w:p>
      <w:r>
        <w:rPr>
          <w:b/>
        </w:rPr>
        <w:t>E. 8</w:t>
      </w:r>
    </w:p>
    <w:p>
      <w:r>
        <w:t>a) Mal fondé,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recourante, vu le sort de ses conclusions. c) Il n’y a pas lieu d’allouer de dépens à la recourante, qui n’obtient pas gain de cause (art. 61 let. g LPGA).</w:t>
      </w:r>
    </w:p>
    <w:p>
      <w:r>
        <w:t>- 18 -</w:t>
      </w:r>
    </w:p>
    <w:p>
      <w:r>
        <w:rPr>
          <w:b/>
        </w:rPr>
        <w:t>E. 9</w:t>
      </w:r>
    </w:p>
    <w:p>
      <w:r>
        <w:t>a) La recourante est au bénéfice de l’assistance judiciaire. Les frais judiciaires mis à sa charge sont donc provisoirement supportés par l’Etat et Me Elodie Vilardo peut prétendre une équitable indemnité pour son mandat d’office. Après examen de la liste des opérations déposée le 9 décembre 2024, compte tenu de l’importance et de la complexité du litige, il convient d’arrêter l’indemnité à 3’030 fr. 60, débours et TVA compris (art. 2, 3 al. 1 et 3bis RAJ [règlement cantonal du 7 décembre 2010 sur l’assistance judiciaire en matière civile ; BLV 211.02.3]). b)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